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80" w:rightFromText="180" w:vertAnchor="page" w:horzAnchor="margin" w:tblpY="4493"/>
        <w:tblW w:w="9640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6D303C" w14:paraId="3337E64E" w14:textId="77777777" w:rsidTr="007D100F">
        <w:trPr>
          <w:trHeight w:val="410"/>
        </w:trPr>
        <w:tc>
          <w:tcPr>
            <w:tcW w:w="9640" w:type="dxa"/>
            <w:gridSpan w:val="2"/>
          </w:tcPr>
          <w:p w14:paraId="04470282" w14:textId="6163756A" w:rsidR="007D100F" w:rsidRPr="007D100F" w:rsidRDefault="00F86DE9" w:rsidP="00747577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D100F">
              <w:rPr>
                <w:rFonts w:cs="Times New Roman"/>
                <w:b/>
                <w:sz w:val="28"/>
                <w:szCs w:val="28"/>
              </w:rPr>
              <w:t>İŞ</w:t>
            </w:r>
            <w:r w:rsidR="00175441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D100F">
              <w:rPr>
                <w:rFonts w:cs="Times New Roman"/>
                <w:b/>
                <w:sz w:val="28"/>
                <w:szCs w:val="28"/>
              </w:rPr>
              <w:t>BİRLİĞİ PROTOKOLÜ</w:t>
            </w:r>
          </w:p>
        </w:tc>
      </w:tr>
      <w:tr w:rsidR="007D100F" w14:paraId="016F053B" w14:textId="77777777" w:rsidTr="007D100F">
        <w:trPr>
          <w:trHeight w:val="151"/>
        </w:trPr>
        <w:tc>
          <w:tcPr>
            <w:tcW w:w="9640" w:type="dxa"/>
            <w:gridSpan w:val="2"/>
          </w:tcPr>
          <w:p w14:paraId="682D7974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</w:t>
            </w: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ADDE 1 – TARAFLAR</w:t>
            </w:r>
          </w:p>
          <w:p w14:paraId="3508B1E4" w14:textId="77777777" w:rsidR="007D100F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Bu protokol, bir tarafta merkezi Yozgat’ta bulunan Yozgat Bozok Üniversitesi (bundan sonra “Üniversite” olarak anılacaktır) ile diğer tarafta ……………………………………… (bundan sonra “Firma” olarak anılacaktır) arasında imzalanmıştır.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szCs w:val="24"/>
              </w:rPr>
              <w:br/>
              <w:t>Üniversiteyi Prof. Dr. Evren YAŞAR (Rektör), Firmayı ise yetkili temsilcisi temsil eder.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szCs w:val="24"/>
              </w:rPr>
              <w:br/>
            </w:r>
            <w:r w:rsidRPr="007D100F">
              <w:rPr>
                <w:rFonts w:cs="Times New Roman"/>
                <w:b/>
                <w:bCs/>
                <w:szCs w:val="24"/>
              </w:rPr>
              <w:t>Üniversite adresi:</w:t>
            </w:r>
            <w:r w:rsidRPr="00E66C70">
              <w:rPr>
                <w:rFonts w:cs="Times New Roman"/>
                <w:szCs w:val="24"/>
              </w:rPr>
              <w:br/>
              <w:t>Yozgat Bozok Üniversitesi Rektörlüğü, Çapanoğlu Mah. Cemil Çiçek</w:t>
            </w:r>
            <w:r w:rsidR="00747577">
              <w:rPr>
                <w:rFonts w:cs="Times New Roman"/>
                <w:szCs w:val="24"/>
              </w:rPr>
              <w:t xml:space="preserve"> Cad. No:217/1 Merkez/Yozgat</w:t>
            </w:r>
            <w:r w:rsidRPr="00E66C70">
              <w:rPr>
                <w:rFonts w:cs="Times New Roman"/>
                <w:szCs w:val="24"/>
              </w:rPr>
              <w:br/>
            </w:r>
            <w:r w:rsidRPr="007D100F">
              <w:rPr>
                <w:rFonts w:cs="Times New Roman"/>
                <w:b/>
                <w:bCs/>
                <w:szCs w:val="24"/>
              </w:rPr>
              <w:t>Firma adresi:</w:t>
            </w:r>
            <w:r w:rsidRPr="00E66C70">
              <w:rPr>
                <w:rFonts w:cs="Times New Roman"/>
                <w:szCs w:val="24"/>
              </w:rPr>
              <w:br/>
              <w:t>………………………………………………………………………</w:t>
            </w:r>
          </w:p>
          <w:p w14:paraId="1AD8923E" w14:textId="1EB6FE27" w:rsidR="00F427A8" w:rsidRPr="00E66C70" w:rsidRDefault="00F427A8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7D100F" w14:paraId="3990D79A" w14:textId="77777777" w:rsidTr="007D100F">
        <w:trPr>
          <w:trHeight w:val="151"/>
        </w:trPr>
        <w:tc>
          <w:tcPr>
            <w:tcW w:w="9640" w:type="dxa"/>
            <w:gridSpan w:val="2"/>
          </w:tcPr>
          <w:p w14:paraId="1B285E76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2 – DAYANAK</w:t>
            </w:r>
          </w:p>
          <w:p w14:paraId="76BC86EB" w14:textId="6F7D21A6" w:rsidR="007D100F" w:rsidRPr="00E66C70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Bu protokol;</w:t>
            </w:r>
            <w:r w:rsidRPr="00E66C70">
              <w:rPr>
                <w:rFonts w:cs="Times New Roman"/>
                <w:szCs w:val="24"/>
              </w:rPr>
              <w:br/>
            </w:r>
            <w:r w:rsidR="008F7599" w:rsidRPr="00E66C70">
              <w:rPr>
                <w:rFonts w:cs="Times New Roman"/>
                <w:szCs w:val="24"/>
              </w:rPr>
              <w:t xml:space="preserve">- </w:t>
            </w:r>
            <w:r w:rsidR="008F7599" w:rsidRPr="008F7599">
              <w:t>Yükseköğretimde</w:t>
            </w:r>
            <w:r w:rsidR="008F7599" w:rsidRPr="008F7599">
              <w:rPr>
                <w:rFonts w:cs="Times New Roman"/>
                <w:szCs w:val="24"/>
              </w:rPr>
              <w:t xml:space="preserve"> Uygulamalı Eğitimler Çerçeve Yönetmeliği</w:t>
            </w:r>
            <w:r w:rsidRPr="00E66C70">
              <w:rPr>
                <w:rFonts w:cs="Times New Roman"/>
                <w:szCs w:val="24"/>
              </w:rPr>
              <w:br/>
            </w:r>
            <w:r w:rsidR="008F7599" w:rsidRPr="00E66C70">
              <w:rPr>
                <w:rFonts w:cs="Times New Roman"/>
                <w:szCs w:val="24"/>
              </w:rPr>
              <w:t>- Yozgat Bozok Üniversitesi Uygulamalı Eğitimler Yönergesi</w:t>
            </w:r>
            <w:r w:rsidRPr="00E66C70">
              <w:rPr>
                <w:rFonts w:cs="Times New Roman"/>
                <w:szCs w:val="24"/>
              </w:rPr>
              <w:br/>
              <w:t>- 3308, 5510 ve 6331 sayılı Kanunlar</w:t>
            </w:r>
            <w:r w:rsidRPr="00E66C70">
              <w:rPr>
                <w:rFonts w:cs="Times New Roman"/>
                <w:szCs w:val="24"/>
              </w:rPr>
              <w:br/>
              <w:t>hükümlerine dayanır. İME ve Staj uygulamaları bu mevzuata göre yürütülür.</w:t>
            </w:r>
          </w:p>
        </w:tc>
      </w:tr>
      <w:tr w:rsidR="007D100F" w14:paraId="43D6C07E" w14:textId="77777777" w:rsidTr="007D100F">
        <w:trPr>
          <w:trHeight w:val="151"/>
        </w:trPr>
        <w:tc>
          <w:tcPr>
            <w:tcW w:w="9640" w:type="dxa"/>
            <w:gridSpan w:val="2"/>
          </w:tcPr>
          <w:p w14:paraId="04ABF24F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3 – TANIMLAR</w:t>
            </w:r>
          </w:p>
          <w:p w14:paraId="537B7F7D" w14:textId="2E80C408" w:rsidR="007D100F" w:rsidRPr="00E66C70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Bu protokolde geçen;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b/>
                <w:bCs/>
                <w:szCs w:val="24"/>
              </w:rPr>
              <w:t>- İME:</w:t>
            </w:r>
            <w:r w:rsidRPr="00E66C70">
              <w:rPr>
                <w:rFonts w:cs="Times New Roman"/>
                <w:szCs w:val="24"/>
              </w:rPr>
              <w:t xml:space="preserve"> Yönerge Madde 13 kapsamındaki ders niteliğindeki uygulamalı eğitim,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b/>
                <w:bCs/>
                <w:szCs w:val="24"/>
              </w:rPr>
              <w:t>- Staj:</w:t>
            </w:r>
            <w:r w:rsidRPr="00E66C70">
              <w:rPr>
                <w:rFonts w:cs="Times New Roman"/>
                <w:szCs w:val="24"/>
              </w:rPr>
              <w:t xml:space="preserve"> Yönerge Madde 14 kapsamındaki uygulamalı eğitim,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b/>
                <w:bCs/>
                <w:szCs w:val="24"/>
              </w:rPr>
              <w:t>- Komisyon:</w:t>
            </w:r>
            <w:r w:rsidRPr="00E66C70">
              <w:rPr>
                <w:rFonts w:cs="Times New Roman"/>
                <w:szCs w:val="24"/>
              </w:rPr>
              <w:t xml:space="preserve"> Bölüm/Program Uygulamalı Eğitimler Komisyonu,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b/>
                <w:bCs/>
                <w:szCs w:val="24"/>
              </w:rPr>
              <w:lastRenderedPageBreak/>
              <w:t>- Sorumlu Öğretim Elemanı:</w:t>
            </w:r>
            <w:r w:rsidRPr="00E66C70">
              <w:rPr>
                <w:rFonts w:cs="Times New Roman"/>
                <w:szCs w:val="24"/>
              </w:rPr>
              <w:t xml:space="preserve"> İME/Staj sürecini akademik olarak yürüten öğretim elemanı,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b/>
                <w:bCs/>
                <w:szCs w:val="24"/>
              </w:rPr>
              <w:t>- Eğitici Personel:</w:t>
            </w:r>
            <w:r w:rsidRPr="00E66C70">
              <w:rPr>
                <w:rFonts w:cs="Times New Roman"/>
                <w:szCs w:val="24"/>
              </w:rPr>
              <w:t xml:space="preserve"> Firma tarafından görevlendirilen personel,</w:t>
            </w:r>
            <w:r w:rsidRPr="00E66C70">
              <w:rPr>
                <w:rFonts w:cs="Times New Roman"/>
                <w:szCs w:val="24"/>
              </w:rPr>
              <w:br/>
            </w:r>
            <w:r w:rsidRPr="00E66C70">
              <w:rPr>
                <w:rFonts w:cs="Times New Roman"/>
                <w:b/>
                <w:bCs/>
                <w:szCs w:val="24"/>
              </w:rPr>
              <w:t>- Uygulamalı Eğitim Dosyası:</w:t>
            </w:r>
            <w:r w:rsidRPr="00E66C70">
              <w:rPr>
                <w:rFonts w:cs="Times New Roman"/>
                <w:szCs w:val="24"/>
              </w:rPr>
              <w:t xml:space="preserve"> Defter, devam çizelgesi ve işletme değerlendirme formu</w:t>
            </w:r>
            <w:r w:rsidRPr="00E66C70">
              <w:rPr>
                <w:rFonts w:cs="Times New Roman"/>
                <w:szCs w:val="24"/>
              </w:rPr>
              <w:br/>
              <w:t>ifade eder.</w:t>
            </w:r>
          </w:p>
        </w:tc>
      </w:tr>
      <w:tr w:rsidR="007E272E" w14:paraId="76A07374" w14:textId="77777777" w:rsidTr="007D100F">
        <w:trPr>
          <w:trHeight w:val="151"/>
        </w:trPr>
        <w:tc>
          <w:tcPr>
            <w:tcW w:w="9640" w:type="dxa"/>
            <w:gridSpan w:val="2"/>
          </w:tcPr>
          <w:p w14:paraId="494E8736" w14:textId="77777777" w:rsidR="007E272E" w:rsidRPr="007E272E" w:rsidRDefault="007E272E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E272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MADDE 4 – AMAÇ</w:t>
            </w:r>
          </w:p>
          <w:p w14:paraId="58F2D349" w14:textId="1CED41F2" w:rsidR="007E272E" w:rsidRPr="00747577" w:rsidRDefault="007E272E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7E272E">
              <w:rPr>
                <w:rFonts w:cs="Times New Roman"/>
                <w:szCs w:val="24"/>
              </w:rPr>
              <w:t>Ar-Ge, teknik iş birliği ve öğrencilerin İME/Staj süreçlerinin mevzuata uygun yürütülmesidir.</w:t>
            </w:r>
          </w:p>
        </w:tc>
      </w:tr>
      <w:tr w:rsidR="007E272E" w14:paraId="7A01152C" w14:textId="77777777" w:rsidTr="007D100F">
        <w:trPr>
          <w:trHeight w:val="151"/>
        </w:trPr>
        <w:tc>
          <w:tcPr>
            <w:tcW w:w="9640" w:type="dxa"/>
            <w:gridSpan w:val="2"/>
          </w:tcPr>
          <w:p w14:paraId="0F015765" w14:textId="77777777" w:rsidR="007E272E" w:rsidRPr="007E272E" w:rsidRDefault="007E272E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E272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5 – KAPSAM</w:t>
            </w:r>
          </w:p>
          <w:p w14:paraId="4681BB73" w14:textId="22D10417" w:rsidR="007E272E" w:rsidRPr="007E272E" w:rsidRDefault="007E272E" w:rsidP="00747577">
            <w:pPr>
              <w:pStyle w:val="Balk2"/>
              <w:spacing w:before="0" w:line="360" w:lineRule="auto"/>
              <w:jc w:val="left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27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Öğrencilerin Firmada İME ve Staj uygulamaları</w:t>
            </w:r>
            <w:r w:rsidRPr="007E27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- Ortak teknik ve Ar-Ge çalışmaları</w:t>
            </w:r>
            <w:r w:rsidRPr="007E27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- Eğ</w:t>
            </w:r>
            <w:r w:rsidR="00747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itim, seminer ve teknik geziler</w:t>
            </w:r>
          </w:p>
        </w:tc>
      </w:tr>
      <w:tr w:rsidR="007D100F" w14:paraId="67DF0589" w14:textId="77777777" w:rsidTr="007D100F">
        <w:trPr>
          <w:trHeight w:val="1050"/>
        </w:trPr>
        <w:tc>
          <w:tcPr>
            <w:tcW w:w="9640" w:type="dxa"/>
            <w:gridSpan w:val="2"/>
          </w:tcPr>
          <w:p w14:paraId="20A372B3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6 – SÜREÇLERİN YÜRÜTÜLMESİ</w:t>
            </w:r>
          </w:p>
          <w:p w14:paraId="30DB4B28" w14:textId="4796BA93" w:rsidR="007D100F" w:rsidRPr="00747577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Tüm İME ve Staj süreçleri Komisyon ve Sorumlu Öğretim Elemanı koordinasyonunda yürütülür.</w:t>
            </w:r>
          </w:p>
        </w:tc>
      </w:tr>
      <w:tr w:rsidR="007D100F" w14:paraId="09B8424F" w14:textId="77777777" w:rsidTr="007D100F">
        <w:trPr>
          <w:trHeight w:val="2715"/>
        </w:trPr>
        <w:tc>
          <w:tcPr>
            <w:tcW w:w="9640" w:type="dxa"/>
            <w:gridSpan w:val="2"/>
          </w:tcPr>
          <w:p w14:paraId="71E447F6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7 – FİRMANIN YÜKÜMLÜLÜKLERİ</w:t>
            </w:r>
          </w:p>
          <w:p w14:paraId="4E255846" w14:textId="7C807988" w:rsidR="007D100F" w:rsidRPr="00E66C70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1. Eğitici personel görevlendirir.</w:t>
            </w:r>
            <w:r w:rsidRPr="00E66C70">
              <w:rPr>
                <w:rFonts w:cs="Times New Roman"/>
                <w:szCs w:val="24"/>
              </w:rPr>
              <w:br/>
              <w:t>2. İş Sağlığı ve Güvenliği tedbirlerini alır.</w:t>
            </w:r>
            <w:r w:rsidRPr="00E66C70">
              <w:rPr>
                <w:rFonts w:cs="Times New Roman"/>
                <w:szCs w:val="24"/>
              </w:rPr>
              <w:br/>
              <w:t>3. İşletme değerlendirme formunu doldurur.</w:t>
            </w:r>
            <w:r w:rsidRPr="00E66C70">
              <w:rPr>
                <w:rFonts w:cs="Times New Roman"/>
                <w:szCs w:val="24"/>
              </w:rPr>
              <w:br/>
              <w:t>4. Öğrenciye net asgari ücretin %30’undan az olmamak üzere ücret öder.</w:t>
            </w:r>
            <w:r w:rsidRPr="00E66C70">
              <w:rPr>
                <w:rFonts w:cs="Times New Roman"/>
                <w:szCs w:val="24"/>
              </w:rPr>
              <w:br/>
              <w:t>5. Aylık ödeme dekontlarını sorumlu öğretim elemanına iletir.</w:t>
            </w:r>
            <w:r w:rsidRPr="00E66C70">
              <w:rPr>
                <w:rFonts w:cs="Times New Roman"/>
                <w:szCs w:val="24"/>
              </w:rPr>
              <w:br/>
              <w:t>6. Devamsızlık ve disiplin durumlarını derhal Üniversiteye bildirir.</w:t>
            </w:r>
          </w:p>
        </w:tc>
      </w:tr>
      <w:tr w:rsidR="007D100F" w14:paraId="40203E32" w14:textId="77777777" w:rsidTr="007D100F">
        <w:trPr>
          <w:trHeight w:val="1713"/>
        </w:trPr>
        <w:tc>
          <w:tcPr>
            <w:tcW w:w="9640" w:type="dxa"/>
            <w:gridSpan w:val="2"/>
          </w:tcPr>
          <w:p w14:paraId="7CD4921C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8 – ÜNİVERSİTENİN YÜKÜMLÜLÜKLERİ</w:t>
            </w:r>
          </w:p>
          <w:p w14:paraId="5C017CDE" w14:textId="67C35854" w:rsidR="007D100F" w:rsidRPr="00747577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1. İş kazası ve meslek hastalığı sigortasını yapar.</w:t>
            </w:r>
            <w:r w:rsidRPr="00E66C70">
              <w:rPr>
                <w:rFonts w:cs="Times New Roman"/>
                <w:szCs w:val="24"/>
              </w:rPr>
              <w:br/>
              <w:t>2. Komisyon ve sorumlu öğretim elemanı görevlendirir.</w:t>
            </w:r>
            <w:r w:rsidRPr="00E66C70">
              <w:rPr>
                <w:rFonts w:cs="Times New Roman"/>
                <w:szCs w:val="24"/>
              </w:rPr>
              <w:br/>
              <w:t>3. Akademik danışmanlık sağlar.</w:t>
            </w:r>
          </w:p>
        </w:tc>
      </w:tr>
      <w:tr w:rsidR="007D100F" w14:paraId="7590BA0A" w14:textId="77777777" w:rsidTr="007D100F">
        <w:trPr>
          <w:trHeight w:val="2052"/>
        </w:trPr>
        <w:tc>
          <w:tcPr>
            <w:tcW w:w="9640" w:type="dxa"/>
            <w:gridSpan w:val="2"/>
          </w:tcPr>
          <w:p w14:paraId="2FFEE413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MADDE 9 – ÖĞRENCİNİN YÜKÜMLÜLÜKLERİ</w:t>
            </w:r>
          </w:p>
          <w:p w14:paraId="3ADE19CE" w14:textId="4C208D85" w:rsidR="007D100F" w:rsidRPr="00747577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1. Firma ve Üniversite kurallarına uyar.</w:t>
            </w:r>
            <w:r w:rsidRPr="00E66C70">
              <w:rPr>
                <w:rFonts w:cs="Times New Roman"/>
                <w:szCs w:val="24"/>
              </w:rPr>
              <w:br/>
              <w:t>2. %80 devam zorunluluğuna uyar.</w:t>
            </w:r>
            <w:r w:rsidRPr="00E66C70">
              <w:rPr>
                <w:rFonts w:cs="Times New Roman"/>
                <w:szCs w:val="24"/>
              </w:rPr>
              <w:br/>
              <w:t>3. Uygulamalı eğitim dosyasını eksiksiz doldurur.</w:t>
            </w:r>
            <w:r w:rsidRPr="00E66C70">
              <w:rPr>
                <w:rFonts w:cs="Times New Roman"/>
                <w:szCs w:val="24"/>
              </w:rPr>
              <w:br/>
              <w:t>4. Gizlilik kurallarına uyar.</w:t>
            </w:r>
          </w:p>
        </w:tc>
      </w:tr>
      <w:tr w:rsidR="007D100F" w14:paraId="59D06942" w14:textId="77777777" w:rsidTr="007D100F">
        <w:trPr>
          <w:trHeight w:val="1381"/>
        </w:trPr>
        <w:tc>
          <w:tcPr>
            <w:tcW w:w="9640" w:type="dxa"/>
            <w:gridSpan w:val="2"/>
          </w:tcPr>
          <w:p w14:paraId="4C3E1967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10 – DEVAM VE DEVAMSIZLIK</w:t>
            </w:r>
          </w:p>
          <w:p w14:paraId="042D52DC" w14:textId="17E1FC96" w:rsidR="007D100F" w:rsidRPr="00E66C70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- %20 mazeret hakkı vardır.</w:t>
            </w:r>
            <w:r w:rsidRPr="00E66C70">
              <w:rPr>
                <w:rFonts w:cs="Times New Roman"/>
                <w:szCs w:val="24"/>
              </w:rPr>
              <w:br/>
              <w:t>- 3 gün üst üste mazeretsiz devamsızlıkta uygulama kesilir.</w:t>
            </w:r>
          </w:p>
        </w:tc>
      </w:tr>
      <w:tr w:rsidR="007D100F" w14:paraId="10B7E732" w14:textId="77777777" w:rsidTr="007D100F">
        <w:trPr>
          <w:trHeight w:val="2383"/>
        </w:trPr>
        <w:tc>
          <w:tcPr>
            <w:tcW w:w="9640" w:type="dxa"/>
            <w:gridSpan w:val="2"/>
          </w:tcPr>
          <w:p w14:paraId="2B62F0AE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11 – DEĞERLENDİRME</w:t>
            </w:r>
          </w:p>
          <w:p w14:paraId="67BE75BE" w14:textId="047A247A" w:rsidR="007D100F" w:rsidRPr="00E66C70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Değerlendirme:</w:t>
            </w:r>
            <w:r w:rsidRPr="00E66C70">
              <w:rPr>
                <w:rFonts w:cs="Times New Roman"/>
                <w:szCs w:val="24"/>
              </w:rPr>
              <w:br/>
              <w:t>- İşletme %30</w:t>
            </w:r>
            <w:r w:rsidRPr="00E66C70">
              <w:rPr>
                <w:rFonts w:cs="Times New Roman"/>
                <w:szCs w:val="24"/>
              </w:rPr>
              <w:br/>
              <w:t>- Defter %30</w:t>
            </w:r>
            <w:r w:rsidRPr="00E66C70">
              <w:rPr>
                <w:rFonts w:cs="Times New Roman"/>
                <w:szCs w:val="24"/>
              </w:rPr>
              <w:br/>
              <w:t>- Sunum %40</w:t>
            </w:r>
            <w:r w:rsidRPr="00E66C70">
              <w:rPr>
                <w:rFonts w:cs="Times New Roman"/>
                <w:szCs w:val="24"/>
              </w:rPr>
              <w:br/>
              <w:t>Başarı barajı 65’tir. Not girişi sorumlu öğretim elemanı tarafından yapılır.</w:t>
            </w:r>
          </w:p>
        </w:tc>
      </w:tr>
      <w:tr w:rsidR="007D100F" w14:paraId="0CE21E33" w14:textId="77777777" w:rsidTr="007D100F">
        <w:trPr>
          <w:trHeight w:val="1050"/>
        </w:trPr>
        <w:tc>
          <w:tcPr>
            <w:tcW w:w="9640" w:type="dxa"/>
            <w:gridSpan w:val="2"/>
          </w:tcPr>
          <w:p w14:paraId="7A2D3596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12 – ÖĞRENCİ DEĞİŞİKLİĞİ</w:t>
            </w:r>
          </w:p>
          <w:p w14:paraId="1558DB4F" w14:textId="53A3D517" w:rsidR="007D100F" w:rsidRPr="00747577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Firma talepte bulunabilir. Nihai karar Komisyon tarafından verilir.</w:t>
            </w:r>
          </w:p>
        </w:tc>
      </w:tr>
      <w:tr w:rsidR="007D100F" w14:paraId="4D445529" w14:textId="77777777" w:rsidTr="007D100F">
        <w:trPr>
          <w:trHeight w:val="1041"/>
        </w:trPr>
        <w:tc>
          <w:tcPr>
            <w:tcW w:w="9640" w:type="dxa"/>
            <w:gridSpan w:val="2"/>
          </w:tcPr>
          <w:p w14:paraId="59AD3C5A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13 – GİZLİLİK VE KVKK</w:t>
            </w:r>
          </w:p>
          <w:p w14:paraId="7352DF10" w14:textId="1EA8D3F8" w:rsidR="007D100F" w:rsidRPr="001A5F2D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Taraflar elde edilen tüm bilgi ve verileri gizli tutar.</w:t>
            </w:r>
          </w:p>
        </w:tc>
      </w:tr>
      <w:tr w:rsidR="007D100F" w14:paraId="68085695" w14:textId="77777777" w:rsidTr="007D100F">
        <w:trPr>
          <w:trHeight w:val="1050"/>
        </w:trPr>
        <w:tc>
          <w:tcPr>
            <w:tcW w:w="9640" w:type="dxa"/>
            <w:gridSpan w:val="2"/>
          </w:tcPr>
          <w:p w14:paraId="5183D28C" w14:textId="77777777" w:rsidR="007D100F" w:rsidRPr="00E66C70" w:rsidRDefault="007D100F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6C7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MADDE 14 – SÜRE</w:t>
            </w:r>
          </w:p>
          <w:p w14:paraId="7B6836B9" w14:textId="4DD880BF" w:rsidR="007D100F" w:rsidRPr="001A5F2D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Bu protokol 3 yıl geçerlidir.</w:t>
            </w:r>
          </w:p>
        </w:tc>
      </w:tr>
      <w:tr w:rsidR="007D100F" w14:paraId="67519FCC" w14:textId="77777777" w:rsidTr="007D100F">
        <w:trPr>
          <w:trHeight w:val="1089"/>
        </w:trPr>
        <w:tc>
          <w:tcPr>
            <w:tcW w:w="9640" w:type="dxa"/>
            <w:gridSpan w:val="2"/>
          </w:tcPr>
          <w:p w14:paraId="2760DD2E" w14:textId="77777777" w:rsidR="009D5ED2" w:rsidRPr="009D5ED2" w:rsidRDefault="009D5ED2" w:rsidP="0074757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D5ED2">
              <w:rPr>
                <w:rFonts w:cs="Times New Roman"/>
                <w:b/>
                <w:bCs/>
                <w:szCs w:val="24"/>
              </w:rPr>
              <w:t>MADDE 15 – FESİH HAKKI</w:t>
            </w:r>
          </w:p>
          <w:p w14:paraId="4A11E271" w14:textId="77777777" w:rsidR="009D5ED2" w:rsidRPr="009D5ED2" w:rsidRDefault="009D5ED2" w:rsidP="0074757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9D5ED2">
              <w:rPr>
                <w:rFonts w:cs="Times New Roman"/>
                <w:szCs w:val="24"/>
              </w:rPr>
              <w:t>Taraflar, protokol hükümlerine uyulmaması veya iş birliğinin amacına uygun yürütülememesi hâlinde protokolü tek taraflı feshedebilir.</w:t>
            </w:r>
          </w:p>
          <w:p w14:paraId="2B28E5F7" w14:textId="77777777" w:rsidR="009D5ED2" w:rsidRPr="009D5ED2" w:rsidRDefault="009D5ED2" w:rsidP="0074757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9D5ED2">
              <w:rPr>
                <w:rFonts w:cs="Times New Roman"/>
                <w:szCs w:val="24"/>
              </w:rPr>
              <w:lastRenderedPageBreak/>
              <w:t xml:space="preserve">Gerekçesiz fesihte, fesih en az </w:t>
            </w:r>
            <w:r w:rsidRPr="009D5ED2">
              <w:rPr>
                <w:rFonts w:cs="Times New Roman"/>
                <w:b/>
                <w:bCs/>
                <w:szCs w:val="24"/>
              </w:rPr>
              <w:t>30 gün önceden</w:t>
            </w:r>
            <w:r w:rsidRPr="009D5ED2">
              <w:rPr>
                <w:rFonts w:cs="Times New Roman"/>
                <w:szCs w:val="24"/>
              </w:rPr>
              <w:t xml:space="preserve"> yazılı bildirilir.</w:t>
            </w:r>
          </w:p>
          <w:p w14:paraId="5B0AF132" w14:textId="77777777" w:rsidR="009D5ED2" w:rsidRPr="009D5ED2" w:rsidRDefault="009D5ED2" w:rsidP="0074757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9D5ED2">
              <w:rPr>
                <w:rFonts w:cs="Times New Roman"/>
                <w:szCs w:val="24"/>
              </w:rPr>
              <w:t>Fesih hâlinde devam eden İME/Staj süreçleri Komisyon kararıyla tamamlatılır veya başka işletmede sürdürülür.</w:t>
            </w:r>
          </w:p>
          <w:p w14:paraId="4DD3FB68" w14:textId="77777777" w:rsidR="009D5ED2" w:rsidRPr="009D5ED2" w:rsidRDefault="009D5ED2" w:rsidP="0074757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9D5ED2">
              <w:rPr>
                <w:rFonts w:cs="Times New Roman"/>
                <w:szCs w:val="24"/>
              </w:rPr>
              <w:t>Gizlilik ve KVKK yükümlülükleri fesih sonrası da devam eder.</w:t>
            </w:r>
          </w:p>
          <w:p w14:paraId="433F1D3E" w14:textId="646652A0" w:rsidR="007D100F" w:rsidRPr="001A5F2D" w:rsidRDefault="009D5ED2" w:rsidP="0074757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9D5ED2">
              <w:rPr>
                <w:rFonts w:cs="Times New Roman"/>
                <w:szCs w:val="24"/>
              </w:rPr>
              <w:t>Taraflar fesih nedeniyle tazminat talep edemez.</w:t>
            </w:r>
          </w:p>
        </w:tc>
      </w:tr>
      <w:tr w:rsidR="004F1F51" w14:paraId="41F02349" w14:textId="77777777" w:rsidTr="007D100F">
        <w:trPr>
          <w:trHeight w:val="1089"/>
        </w:trPr>
        <w:tc>
          <w:tcPr>
            <w:tcW w:w="9640" w:type="dxa"/>
            <w:gridSpan w:val="2"/>
          </w:tcPr>
          <w:p w14:paraId="0F3D0CD4" w14:textId="5A7D2D52" w:rsidR="004F1F51" w:rsidRPr="004F1F51" w:rsidRDefault="004F1F51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1F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MADDE 1</w:t>
            </w:r>
            <w:r w:rsidR="00F96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Pr="004F1F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FİKRÎ VE SINAÎ MÜLKİYET HAKLARI</w:t>
            </w:r>
          </w:p>
          <w:p w14:paraId="3421DDA2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Bu protokol kapsamında gerçekleştirilecek eğitim, uygulama, teknik çalışma, Ar-Ge faaliyeti ve benzeri iş birlikleri sonucunda ortaya çıkabilecek her türlü;</w:t>
            </w:r>
          </w:p>
          <w:p w14:paraId="124067AC" w14:textId="77777777" w:rsidR="004F1F51" w:rsidRDefault="004F1F51" w:rsidP="0074757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</w:pPr>
            <w:r>
              <w:t>Buluş,</w:t>
            </w:r>
          </w:p>
          <w:p w14:paraId="4BD5E077" w14:textId="77777777" w:rsidR="004F1F51" w:rsidRDefault="004F1F51" w:rsidP="0074757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</w:pPr>
            <w:r>
              <w:t>Patent,</w:t>
            </w:r>
          </w:p>
          <w:p w14:paraId="67110ACC" w14:textId="77777777" w:rsidR="004F1F51" w:rsidRDefault="004F1F51" w:rsidP="0074757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</w:pPr>
            <w:r>
              <w:t>Faydalı model,</w:t>
            </w:r>
          </w:p>
          <w:p w14:paraId="13D81E96" w14:textId="77777777" w:rsidR="004F1F51" w:rsidRDefault="004F1F51" w:rsidP="0074757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</w:pPr>
            <w:r>
              <w:t>Tasarım,</w:t>
            </w:r>
          </w:p>
          <w:p w14:paraId="651A183D" w14:textId="77777777" w:rsidR="004F1F51" w:rsidRDefault="004F1F51" w:rsidP="0074757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</w:pPr>
            <w:r>
              <w:t>Yazılım,</w:t>
            </w:r>
          </w:p>
          <w:p w14:paraId="3520BB65" w14:textId="77777777" w:rsidR="004F1F51" w:rsidRDefault="004F1F51" w:rsidP="0074757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</w:pPr>
            <w:r>
              <w:t>Know-how,</w:t>
            </w:r>
          </w:p>
          <w:p w14:paraId="43C1E65C" w14:textId="77777777" w:rsidR="004F1F51" w:rsidRDefault="004F1F51" w:rsidP="0074757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</w:pPr>
            <w:r>
              <w:t>Telif hakkına konu eser</w:t>
            </w:r>
          </w:p>
          <w:p w14:paraId="00AF3B01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 xml:space="preserve">üzerindeki fikrî ve sınai mülkiyet hakları, 6769 sayılı Sınai Mülkiyet Kanunu, 5846 sayılı Fikir ve Sanat Eserleri Kanunu ve </w:t>
            </w:r>
            <w:r>
              <w:rPr>
                <w:rStyle w:val="whitespace-normal"/>
                <w:b/>
                <w:bCs/>
              </w:rPr>
              <w:t>Yozgat Bozok Üniversitesi</w:t>
            </w:r>
            <w:r>
              <w:t xml:space="preserve"> Fikrî Mülkiyet Hakları Yönergesi hükümlerine tabidir.</w:t>
            </w:r>
          </w:p>
          <w:p w14:paraId="73D4B351" w14:textId="0F5EF5F8" w:rsidR="004F1F51" w:rsidRP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Taraflar, bu protokol kapsamında ortaya çıkabilecek fikrî ürünler üzerinde tek taraflı hak iddiasında bulunamaz.</w:t>
            </w:r>
            <w:r>
              <w:br/>
              <w:t>Hak sahipliği ve paylaşımı, ayrıca imzalanacak proje bazlı alt protokoller ile belirlenir.</w:t>
            </w:r>
          </w:p>
        </w:tc>
      </w:tr>
      <w:tr w:rsidR="004F1F51" w14:paraId="1AEE8EC4" w14:textId="77777777" w:rsidTr="007D100F">
        <w:trPr>
          <w:trHeight w:val="1089"/>
        </w:trPr>
        <w:tc>
          <w:tcPr>
            <w:tcW w:w="9640" w:type="dxa"/>
            <w:gridSpan w:val="2"/>
          </w:tcPr>
          <w:p w14:paraId="28771B64" w14:textId="3AF97BA1" w:rsidR="004F1F51" w:rsidRPr="004F1F51" w:rsidRDefault="004F1F51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1F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MADDE 1</w:t>
            </w:r>
            <w:r w:rsidR="00F96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Pr="004F1F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AR-GE VE PROJE BAZLI İŞ BİRLİĞİ</w:t>
            </w:r>
          </w:p>
          <w:p w14:paraId="7C6287A4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Bu protokol, genel bir çerçeve protokol niteliğindedir.</w:t>
            </w:r>
          </w:p>
          <w:p w14:paraId="6AFAA73F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Taraflar arasında yürütülecek;</w:t>
            </w:r>
          </w:p>
          <w:p w14:paraId="2CEF01B7" w14:textId="77777777" w:rsidR="004F1F51" w:rsidRDefault="004F1F51" w:rsidP="0074757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</w:pPr>
            <w:r>
              <w:t>Ar-Ge faaliyetleri,</w:t>
            </w:r>
          </w:p>
          <w:p w14:paraId="68219D9F" w14:textId="77777777" w:rsidR="004F1F51" w:rsidRDefault="004F1F51" w:rsidP="0074757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</w:pPr>
            <w:r>
              <w:lastRenderedPageBreak/>
              <w:t>Ürün geliştirme,</w:t>
            </w:r>
          </w:p>
          <w:p w14:paraId="6CA8DC4A" w14:textId="77777777" w:rsidR="004F1F51" w:rsidRDefault="004F1F51" w:rsidP="0074757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</w:pPr>
            <w:r>
              <w:t>Prototip çalışmaları,</w:t>
            </w:r>
          </w:p>
          <w:p w14:paraId="2517E291" w14:textId="77777777" w:rsidR="004F1F51" w:rsidRDefault="004F1F51" w:rsidP="0074757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</w:pPr>
            <w:r>
              <w:t>Test ve validasyon süreçleri</w:t>
            </w:r>
          </w:p>
          <w:p w14:paraId="205BACDE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ancak bu protokole dayanılarak ayrıca imzalanacak proje bazlı iş birliği protokolleri ile yürütülür.</w:t>
            </w:r>
          </w:p>
          <w:p w14:paraId="78039278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Proje bazlı protokollerde;</w:t>
            </w:r>
          </w:p>
          <w:p w14:paraId="3C16ECEC" w14:textId="77777777" w:rsidR="004F1F51" w:rsidRDefault="004F1F51" w:rsidP="0074757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60" w:lineRule="auto"/>
            </w:pPr>
            <w:r>
              <w:t>Amaç,</w:t>
            </w:r>
          </w:p>
          <w:p w14:paraId="568BDFCB" w14:textId="77777777" w:rsidR="004F1F51" w:rsidRDefault="004F1F51" w:rsidP="0074757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60" w:lineRule="auto"/>
            </w:pPr>
            <w:r>
              <w:t>Süre,</w:t>
            </w:r>
          </w:p>
          <w:p w14:paraId="4F154237" w14:textId="77777777" w:rsidR="004F1F51" w:rsidRDefault="004F1F51" w:rsidP="0074757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60" w:lineRule="auto"/>
            </w:pPr>
            <w:r>
              <w:t>Bütçe,</w:t>
            </w:r>
          </w:p>
          <w:p w14:paraId="7D9A1F27" w14:textId="77777777" w:rsidR="004F1F51" w:rsidRDefault="004F1F51" w:rsidP="0074757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60" w:lineRule="auto"/>
            </w:pPr>
            <w:r>
              <w:t>Fikrî mülkiyet paylaşımı,</w:t>
            </w:r>
          </w:p>
          <w:p w14:paraId="1CAA1FF2" w14:textId="77777777" w:rsidR="004F1F51" w:rsidRDefault="004F1F51" w:rsidP="0074757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60" w:lineRule="auto"/>
            </w:pPr>
            <w:r>
              <w:t>Tarafların sorumlulukları</w:t>
            </w:r>
          </w:p>
          <w:p w14:paraId="270C38DF" w14:textId="5D4017D6" w:rsidR="004F1F51" w:rsidRP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ayrıntılı olarak düzenlenir.</w:t>
            </w:r>
          </w:p>
        </w:tc>
      </w:tr>
      <w:tr w:rsidR="004F1F51" w14:paraId="5B03B5BD" w14:textId="77777777" w:rsidTr="007D100F">
        <w:trPr>
          <w:trHeight w:val="1089"/>
        </w:trPr>
        <w:tc>
          <w:tcPr>
            <w:tcW w:w="9640" w:type="dxa"/>
            <w:gridSpan w:val="2"/>
          </w:tcPr>
          <w:p w14:paraId="42CEC398" w14:textId="391818E2" w:rsidR="004F1F51" w:rsidRPr="004F1F51" w:rsidRDefault="004F1F51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1F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MADDE 1</w:t>
            </w:r>
            <w:r w:rsidR="00F96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Pr="004F1F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MALİ HÜKÜMLER VE KAYNAK KULLANIMI</w:t>
            </w:r>
          </w:p>
          <w:p w14:paraId="113264CE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Bu protokol kapsamında Üniversiteye yapılabilecek aynî veya nakdî katkılar ile doğabilecek mali yükümlülükler;</w:t>
            </w:r>
          </w:p>
          <w:p w14:paraId="5551EA5B" w14:textId="77777777" w:rsidR="004F1F51" w:rsidRDefault="004F1F51" w:rsidP="007475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</w:pPr>
            <w:r>
              <w:t>2547 sayılı Kanun,</w:t>
            </w:r>
          </w:p>
          <w:p w14:paraId="429895C0" w14:textId="77777777" w:rsidR="004F1F51" w:rsidRDefault="004F1F51" w:rsidP="007475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</w:pPr>
            <w:r>
              <w:t>5018 sayılı Kamu Mali Yönetimi ve Kontrol Kanunu,</w:t>
            </w:r>
          </w:p>
          <w:p w14:paraId="72B5C7C8" w14:textId="77777777" w:rsidR="004F1F51" w:rsidRDefault="004F1F51" w:rsidP="007475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</w:pPr>
            <w:r>
              <w:t>Üniversitenin Döner Sermaye, BAP ve ilgili mali yönergeleri</w:t>
            </w:r>
          </w:p>
          <w:p w14:paraId="42BE261D" w14:textId="77777777" w:rsidR="004F1F51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çerçevesinde yürütülür.</w:t>
            </w:r>
          </w:p>
          <w:p w14:paraId="71EAE297" w14:textId="5004B83B" w:rsidR="004F1F51" w:rsidRPr="00747577" w:rsidRDefault="004F1F51" w:rsidP="00747577">
            <w:pPr>
              <w:pStyle w:val="NormalWeb"/>
              <w:spacing w:before="0" w:beforeAutospacing="0" w:after="0" w:afterAutospacing="0" w:line="360" w:lineRule="auto"/>
            </w:pPr>
            <w:r>
              <w:t>Bu protokol tek başına mali yükümlülük doğurmaz.</w:t>
            </w:r>
            <w:r>
              <w:br/>
              <w:t>Her türlü mali husus, ayrıca düzenlenecek yazılı belgelerle hüküm altına alınır.</w:t>
            </w:r>
          </w:p>
        </w:tc>
      </w:tr>
      <w:tr w:rsidR="004F1F51" w14:paraId="7E965C7E" w14:textId="77777777" w:rsidTr="007D100F">
        <w:trPr>
          <w:trHeight w:val="1089"/>
        </w:trPr>
        <w:tc>
          <w:tcPr>
            <w:tcW w:w="9640" w:type="dxa"/>
            <w:gridSpan w:val="2"/>
          </w:tcPr>
          <w:p w14:paraId="1BE2A68B" w14:textId="70AB5A13" w:rsidR="001A5F2D" w:rsidRPr="001A5F2D" w:rsidRDefault="001A5F2D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MADDE </w:t>
            </w:r>
            <w:r w:rsidR="00F96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</w:t>
            </w:r>
            <w:r w:rsidRPr="001A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SORUMLULUK VE TAZMİNAT SINIRI</w:t>
            </w:r>
          </w:p>
          <w:p w14:paraId="611BF4B1" w14:textId="77777777" w:rsid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Taraflar, bu protokol kapsamında doğabilecek zararlardan kendi kusurları oranında sorumludur.</w:t>
            </w:r>
          </w:p>
          <w:p w14:paraId="08870E1C" w14:textId="77777777" w:rsid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Tarafların;</w:t>
            </w:r>
          </w:p>
          <w:p w14:paraId="4034F98D" w14:textId="77777777" w:rsidR="001A5F2D" w:rsidRDefault="001A5F2D" w:rsidP="0074757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</w:pPr>
            <w:r>
              <w:t>Kastı,</w:t>
            </w:r>
          </w:p>
          <w:p w14:paraId="4B566499" w14:textId="77777777" w:rsidR="001A5F2D" w:rsidRDefault="001A5F2D" w:rsidP="0074757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</w:pPr>
            <w:r>
              <w:t>Ağır kusuru,</w:t>
            </w:r>
          </w:p>
          <w:p w14:paraId="4C5E1B45" w14:textId="77777777" w:rsidR="001A5F2D" w:rsidRDefault="001A5F2D" w:rsidP="0074757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</w:pPr>
            <w:r>
              <w:lastRenderedPageBreak/>
              <w:t>Üçüncü kişilere verilen zararlar</w:t>
            </w:r>
          </w:p>
          <w:p w14:paraId="5149102A" w14:textId="77777777" w:rsid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bu protokolde yer alan “tazminat talep edilemez” hükmünün kapsamı dışındadır.</w:t>
            </w:r>
          </w:p>
          <w:p w14:paraId="5286206A" w14:textId="58BD56B1" w:rsidR="004F1F51" w:rsidRDefault="001A5F2D" w:rsidP="00747577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r>
              <w:t>Öğrencilerin üçüncü kişilere verdiği zararlardan, kusur durumuna göre ilgili taraf sorumlu olur.</w:t>
            </w:r>
          </w:p>
        </w:tc>
      </w:tr>
      <w:tr w:rsidR="001A5F2D" w14:paraId="2B3FE1FE" w14:textId="77777777" w:rsidTr="007D100F">
        <w:trPr>
          <w:trHeight w:val="1089"/>
        </w:trPr>
        <w:tc>
          <w:tcPr>
            <w:tcW w:w="9640" w:type="dxa"/>
            <w:gridSpan w:val="2"/>
          </w:tcPr>
          <w:p w14:paraId="5B1577DD" w14:textId="638C5006" w:rsidR="001A5F2D" w:rsidRPr="001A5F2D" w:rsidRDefault="001A5F2D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MADDE 2</w:t>
            </w:r>
            <w:r w:rsidR="00F96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1A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MÜCBİR SEBEP</w:t>
            </w:r>
          </w:p>
          <w:p w14:paraId="61A43C1E" w14:textId="77777777" w:rsid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Tarafların kontrolü dışında gelişen;</w:t>
            </w:r>
          </w:p>
          <w:p w14:paraId="74A32BC7" w14:textId="77777777" w:rsidR="001A5F2D" w:rsidRDefault="001A5F2D" w:rsidP="0074757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</w:pPr>
            <w:r>
              <w:t>Doğal afet,</w:t>
            </w:r>
          </w:p>
          <w:p w14:paraId="32D36C2D" w14:textId="77777777" w:rsidR="001A5F2D" w:rsidRDefault="001A5F2D" w:rsidP="0074757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</w:pPr>
            <w:r>
              <w:t>Salgın hastalık,</w:t>
            </w:r>
          </w:p>
          <w:p w14:paraId="73E9CFFD" w14:textId="77777777" w:rsidR="001A5F2D" w:rsidRDefault="001A5F2D" w:rsidP="0074757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</w:pPr>
            <w:r>
              <w:t>Savaş,</w:t>
            </w:r>
          </w:p>
          <w:p w14:paraId="6BDD0E59" w14:textId="77777777" w:rsidR="001A5F2D" w:rsidRDefault="001A5F2D" w:rsidP="0074757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</w:pPr>
            <w:r>
              <w:t>Resmî makam kararları</w:t>
            </w:r>
          </w:p>
          <w:p w14:paraId="1A7C6CD6" w14:textId="77777777" w:rsid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gibi mücbir sebepler hâlinde taraflar yükümlülüklerini geçici olarak yerine getiremeyebilir.</w:t>
            </w:r>
          </w:p>
          <w:p w14:paraId="0C6F7749" w14:textId="28C28B80" w:rsid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Mücbir sebebin ortadan kalkmasıyla yükümlülükler kaldığı yerden devam eder.</w:t>
            </w:r>
          </w:p>
        </w:tc>
      </w:tr>
      <w:tr w:rsidR="001A5F2D" w14:paraId="7C4BAAEE" w14:textId="77777777" w:rsidTr="007D100F">
        <w:trPr>
          <w:trHeight w:val="1089"/>
        </w:trPr>
        <w:tc>
          <w:tcPr>
            <w:tcW w:w="9640" w:type="dxa"/>
            <w:gridSpan w:val="2"/>
          </w:tcPr>
          <w:p w14:paraId="15BBA5A4" w14:textId="6F19A42F" w:rsidR="001A5F2D" w:rsidRPr="001A5F2D" w:rsidRDefault="001A5F2D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MADDE 2</w:t>
            </w:r>
            <w:r w:rsidR="00F96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1A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UYUŞMAZLIK ÇÖZÜMÜ</w:t>
            </w:r>
          </w:p>
          <w:p w14:paraId="5ACE36DB" w14:textId="77777777" w:rsid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Bu protokolün uygulanmasından doğabilecek uyuşmazlıklarda öncelikle taraflar arasında uzlaşma yoluna gidilir.</w:t>
            </w:r>
          </w:p>
          <w:p w14:paraId="134C970E" w14:textId="2D7BDF25" w:rsidR="001A5F2D" w:rsidRPr="001A5F2D" w:rsidRDefault="001A5F2D" w:rsidP="00747577">
            <w:pPr>
              <w:pStyle w:val="NormalWeb"/>
              <w:spacing w:before="0" w:beforeAutospacing="0" w:after="0" w:afterAutospacing="0" w:line="360" w:lineRule="auto"/>
            </w:pPr>
            <w:r>
              <w:t>Uzlaşma sağlanamaması hâlinde Yozgat Mahkemeleri ve İcra Daireleri yetkilidir.</w:t>
            </w:r>
          </w:p>
        </w:tc>
      </w:tr>
      <w:tr w:rsidR="001A5F2D" w14:paraId="4EACFA7B" w14:textId="77777777" w:rsidTr="007D100F">
        <w:trPr>
          <w:trHeight w:val="1089"/>
        </w:trPr>
        <w:tc>
          <w:tcPr>
            <w:tcW w:w="9640" w:type="dxa"/>
            <w:gridSpan w:val="2"/>
          </w:tcPr>
          <w:p w14:paraId="24105B47" w14:textId="709EB3E2" w:rsidR="00576BA9" w:rsidRPr="00747577" w:rsidRDefault="00576BA9" w:rsidP="00747577">
            <w:pPr>
              <w:pStyle w:val="Balk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75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MADDE 2</w:t>
            </w:r>
            <w:r w:rsidR="00F96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Pr="007475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YÜRÜRLÜK</w:t>
            </w:r>
          </w:p>
          <w:p w14:paraId="7EC10A16" w14:textId="37AF5B1F" w:rsidR="001A5F2D" w:rsidRPr="00576BA9" w:rsidRDefault="00576BA9" w:rsidP="00747577">
            <w:pPr>
              <w:pStyle w:val="NormalWeb"/>
              <w:spacing w:before="0" w:beforeAutospacing="0" w:after="0" w:afterAutospacing="0" w:line="360" w:lineRule="auto"/>
            </w:pPr>
            <w:r>
              <w:t>Bu ek maddeler, protokolün ayrılmaz parçasıdır.</w:t>
            </w:r>
            <w:r>
              <w:br/>
              <w:t>Taraflarca imzalandığı tarihte yürürlüğe girer.</w:t>
            </w:r>
          </w:p>
        </w:tc>
      </w:tr>
      <w:tr w:rsidR="007D100F" w14:paraId="3BACE3F2" w14:textId="77777777" w:rsidTr="00F96227">
        <w:trPr>
          <w:trHeight w:val="2686"/>
        </w:trPr>
        <w:tc>
          <w:tcPr>
            <w:tcW w:w="4820" w:type="dxa"/>
          </w:tcPr>
          <w:p w14:paraId="416C51DD" w14:textId="77777777" w:rsidR="007D100F" w:rsidRPr="00E66C70" w:rsidRDefault="007D100F" w:rsidP="0074757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E66C70">
              <w:rPr>
                <w:rFonts w:cs="Times New Roman"/>
                <w:b/>
                <w:bCs/>
                <w:szCs w:val="24"/>
              </w:rPr>
              <w:t>1. Yozgat Bozok Üniversitesi</w:t>
            </w:r>
          </w:p>
          <w:p w14:paraId="738D75AE" w14:textId="77777777" w:rsidR="007D100F" w:rsidRPr="00E66C70" w:rsidRDefault="007D100F" w:rsidP="00747577">
            <w:pPr>
              <w:spacing w:line="360" w:lineRule="auto"/>
              <w:rPr>
                <w:rFonts w:cs="Times New Roman"/>
                <w:szCs w:val="24"/>
              </w:rPr>
            </w:pPr>
          </w:p>
          <w:p w14:paraId="35941443" w14:textId="7E932FAF" w:rsidR="007D100F" w:rsidRPr="00747577" w:rsidRDefault="007D100F" w:rsidP="00747577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>Prof. Dr. Evren YAŞAR</w:t>
            </w:r>
            <w:r w:rsidRPr="00E66C70">
              <w:rPr>
                <w:rFonts w:cs="Times New Roman"/>
                <w:szCs w:val="24"/>
              </w:rPr>
              <w:br/>
            </w:r>
            <w:r w:rsidR="00747577">
              <w:rPr>
                <w:rFonts w:cs="Times New Roman"/>
                <w:szCs w:val="24"/>
              </w:rPr>
              <w:t>Rektör</w:t>
            </w:r>
          </w:p>
        </w:tc>
        <w:tc>
          <w:tcPr>
            <w:tcW w:w="4820" w:type="dxa"/>
          </w:tcPr>
          <w:p w14:paraId="0CDA2629" w14:textId="77777777" w:rsidR="007D100F" w:rsidRPr="00E66C70" w:rsidRDefault="007D100F" w:rsidP="0074757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E66C70">
              <w:rPr>
                <w:rFonts w:cs="Times New Roman"/>
                <w:b/>
                <w:bCs/>
                <w:szCs w:val="24"/>
              </w:rPr>
              <w:t>2. Firma / Sanayi Kuruluşu</w:t>
            </w:r>
          </w:p>
          <w:p w14:paraId="27F6A1E0" w14:textId="77777777" w:rsidR="007D100F" w:rsidRPr="00E66C70" w:rsidRDefault="007D100F" w:rsidP="00747577">
            <w:pPr>
              <w:spacing w:line="360" w:lineRule="auto"/>
              <w:rPr>
                <w:rFonts w:cs="Times New Roman"/>
                <w:szCs w:val="24"/>
              </w:rPr>
            </w:pPr>
            <w:r w:rsidRPr="00E66C70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50F4BCDF" w14:textId="0C2118A9" w:rsidR="006D303C" w:rsidRDefault="006D303C" w:rsidP="009061F7">
      <w:pPr>
        <w:spacing w:after="0" w:line="360" w:lineRule="auto"/>
      </w:pPr>
    </w:p>
    <w:sectPr w:rsidR="006D3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CC8AE" w14:textId="77777777" w:rsidR="008C4CA7" w:rsidRDefault="008C4CA7" w:rsidP="00671CA8">
      <w:pPr>
        <w:spacing w:after="0" w:line="240" w:lineRule="auto"/>
      </w:pPr>
      <w:r>
        <w:separator/>
      </w:r>
    </w:p>
  </w:endnote>
  <w:endnote w:type="continuationSeparator" w:id="0">
    <w:p w14:paraId="2FFB34AF" w14:textId="77777777" w:rsidR="008C4CA7" w:rsidRDefault="008C4CA7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7237F" w14:textId="77777777" w:rsidR="00555355" w:rsidRDefault="005553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F883E" w14:textId="314F647B" w:rsidR="00966055" w:rsidRDefault="00966055">
    <w:pPr>
      <w:pStyle w:val="Altbilgi"/>
    </w:pPr>
  </w:p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112"/>
      <w:gridCol w:w="3065"/>
      <w:gridCol w:w="3111"/>
    </w:tblGrid>
    <w:tr w:rsidR="00966055" w:rsidRPr="003A14EE" w14:paraId="1ECD81CE" w14:textId="77777777" w:rsidTr="00002C55">
      <w:tc>
        <w:tcPr>
          <w:tcW w:w="3448" w:type="dxa"/>
        </w:tcPr>
        <w:p w14:paraId="18DA8698" w14:textId="77777777" w:rsidR="00966055" w:rsidRPr="003A14EE" w:rsidRDefault="00966055" w:rsidP="00966055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14:paraId="126A476B" w14:textId="77777777" w:rsidR="00966055" w:rsidRPr="003A14EE" w:rsidRDefault="00966055" w:rsidP="00966055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14:paraId="12429151" w14:textId="77777777" w:rsidR="00966055" w:rsidRPr="003A14EE" w:rsidRDefault="00966055" w:rsidP="00966055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966055" w:rsidRPr="003A14EE" w14:paraId="54F760F4" w14:textId="77777777" w:rsidTr="00002C55">
      <w:tc>
        <w:tcPr>
          <w:tcW w:w="3448" w:type="dxa"/>
        </w:tcPr>
        <w:p w14:paraId="4CF98A36" w14:textId="77777777" w:rsidR="00966055" w:rsidRPr="003A14EE" w:rsidRDefault="00966055" w:rsidP="00966055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14:paraId="1C38134F" w14:textId="77777777" w:rsidR="00966055" w:rsidRPr="003A14EE" w:rsidRDefault="00966055" w:rsidP="00966055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14:paraId="2E498170" w14:textId="77777777" w:rsidR="00966055" w:rsidRPr="003A14EE" w:rsidRDefault="00966055" w:rsidP="00966055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14:paraId="786E56EE" w14:textId="4108A491" w:rsidR="0017200A" w:rsidRDefault="00966055">
    <w:pPr>
      <w:pStyle w:val="Altbilgi"/>
    </w:pPr>
    <w:r>
      <w:t>KYT-FRM-37</w:t>
    </w:r>
    <w:r w:rsidR="001A3C37"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0C0B4" w14:textId="77777777" w:rsidR="00555355" w:rsidRDefault="005553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48F06" w14:textId="77777777" w:rsidR="008C4CA7" w:rsidRDefault="008C4CA7" w:rsidP="00671CA8">
      <w:pPr>
        <w:spacing w:after="0" w:line="240" w:lineRule="auto"/>
      </w:pPr>
      <w:r>
        <w:separator/>
      </w:r>
    </w:p>
  </w:footnote>
  <w:footnote w:type="continuationSeparator" w:id="0">
    <w:p w14:paraId="2152C96B" w14:textId="77777777" w:rsidR="008C4CA7" w:rsidRDefault="008C4CA7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0C4B3" w14:textId="77777777" w:rsidR="00555355" w:rsidRDefault="005553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A282B" w14:textId="1A72E2B1" w:rsidR="00671CA8" w:rsidRDefault="00671CA8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71CA8" w14:paraId="4E9A8A9D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40E3D8DB" w14:textId="77777777" w:rsidR="00671CA8" w:rsidRDefault="00671CA8" w:rsidP="00671CA8">
          <w:pPr>
            <w:pStyle w:val="stbilgi"/>
          </w:pPr>
          <w:bookmarkStart w:id="0" w:name="_Hlk214010674"/>
          <w:r>
            <w:rPr>
              <w:noProof/>
              <w:lang w:eastAsia="tr-TR"/>
            </w:rPr>
            <w:drawing>
              <wp:inline distT="0" distB="0" distL="0" distR="0" wp14:anchorId="5181647C" wp14:editId="6BF8BF70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00031E3B" w14:textId="77777777" w:rsidR="00671CA8" w:rsidRDefault="00671CA8" w:rsidP="00671CA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0D51616" wp14:editId="49BD2122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12AB7AA7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578D1B81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5B650C6D" w14:textId="77777777" w:rsidR="00671CA8" w:rsidRPr="00625423" w:rsidRDefault="00671CA8" w:rsidP="00671CA8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671CA8" w14:paraId="3A906BB9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19C47AC9" w14:textId="77777777" w:rsidR="00671CA8" w:rsidRDefault="00671CA8" w:rsidP="00671CA8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21A72B04" w14:textId="77777777" w:rsidR="00671CA8" w:rsidRDefault="00671CA8" w:rsidP="00671CA8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252A028F" w14:textId="7A0631EC" w:rsidR="00671CA8" w:rsidRPr="006D303C" w:rsidRDefault="00671CA8" w:rsidP="00E66C70">
          <w:pPr>
            <w:pStyle w:val="stbilgi"/>
            <w:rPr>
              <w:rFonts w:ascii="Arial Black" w:hAnsi="Arial Black"/>
              <w:color w:val="ACB9CA" w:themeColor="text2" w:themeTint="66"/>
              <w:sz w:val="20"/>
              <w:szCs w:val="20"/>
            </w:rPr>
          </w:pP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57B0F413" w14:textId="77777777" w:rsidR="00671CA8" w:rsidRDefault="00671CA8" w:rsidP="00671CA8">
          <w:pPr>
            <w:pStyle w:val="stbilgi"/>
          </w:pPr>
        </w:p>
      </w:tc>
    </w:tr>
    <w:bookmarkEnd w:id="0"/>
  </w:tbl>
  <w:p w14:paraId="4F1D9D8C" w14:textId="446F5F04" w:rsidR="00671CA8" w:rsidRDefault="00671CA8">
    <w:pPr>
      <w:pStyle w:val="stbilgi"/>
    </w:pPr>
  </w:p>
  <w:tbl>
    <w:tblPr>
      <w:tblStyle w:val="TabloKlavuzu"/>
      <w:tblW w:w="9624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E66C70" w:rsidRPr="003A14EE" w14:paraId="77ED09EA" w14:textId="77777777" w:rsidTr="00E66C70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656512B0" w14:textId="77777777" w:rsidR="00E66C70" w:rsidRPr="003A14EE" w:rsidRDefault="00E66C70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1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718AE87D" w14:textId="081D9418" w:rsidR="00E66C70" w:rsidRPr="003A14EE" w:rsidRDefault="00E66C70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E5614">
            <w:rPr>
              <w:rFonts w:ascii="Arial Black" w:hAnsi="Arial Black"/>
              <w:b/>
              <w:sz w:val="18"/>
              <w:szCs w:val="24"/>
            </w:rPr>
            <w:t xml:space="preserve">ÜNİVERSİTE – </w:t>
          </w:r>
          <w:r>
            <w:rPr>
              <w:rFonts w:ascii="Arial Black" w:hAnsi="Arial Black"/>
              <w:b/>
              <w:sz w:val="18"/>
              <w:szCs w:val="24"/>
            </w:rPr>
            <w:t>FİRMA</w:t>
          </w:r>
          <w:r w:rsidRPr="000E5614">
            <w:rPr>
              <w:rFonts w:ascii="Arial Black" w:hAnsi="Arial Black"/>
              <w:b/>
              <w:sz w:val="18"/>
              <w:szCs w:val="24"/>
            </w:rPr>
            <w:t xml:space="preserve"> İŞ</w:t>
          </w:r>
          <w:r w:rsidR="00175441">
            <w:rPr>
              <w:rFonts w:ascii="Arial Black" w:hAnsi="Arial Black"/>
              <w:b/>
              <w:sz w:val="18"/>
              <w:szCs w:val="24"/>
            </w:rPr>
            <w:t xml:space="preserve"> </w:t>
          </w:r>
          <w:r w:rsidRPr="000E5614">
            <w:rPr>
              <w:rFonts w:ascii="Arial Black" w:hAnsi="Arial Black"/>
              <w:b/>
              <w:sz w:val="18"/>
              <w:szCs w:val="24"/>
            </w:rPr>
            <w:t>BİRLİĞİ PROTOKOLÜ</w:t>
          </w:r>
        </w:p>
      </w:tc>
      <w:tc>
        <w:tcPr>
          <w:tcW w:w="2127" w:type="dxa"/>
          <w:vAlign w:val="center"/>
        </w:tcPr>
        <w:p w14:paraId="7905FB98" w14:textId="77777777" w:rsidR="00E66C70" w:rsidRPr="003A14EE" w:rsidRDefault="00E66C70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591DD8B" w14:textId="414B03F3" w:rsidR="00E66C70" w:rsidRPr="009061F7" w:rsidRDefault="00E66C70" w:rsidP="0055535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061F7">
            <w:rPr>
              <w:rFonts w:ascii="Arial Black" w:hAnsi="Arial Black"/>
              <w:b/>
              <w:sz w:val="18"/>
              <w:szCs w:val="24"/>
            </w:rPr>
            <w:t>KYT-FRM-</w:t>
          </w:r>
          <w:r w:rsidR="00555355" w:rsidRPr="009061F7">
            <w:rPr>
              <w:rFonts w:ascii="Arial Black" w:hAnsi="Arial Black"/>
              <w:b/>
              <w:sz w:val="18"/>
              <w:szCs w:val="24"/>
            </w:rPr>
            <w:t>373</w:t>
          </w:r>
        </w:p>
      </w:tc>
    </w:tr>
    <w:tr w:rsidR="00E66C70" w:rsidRPr="003A14EE" w14:paraId="08D7CFBC" w14:textId="77777777" w:rsidTr="00E66C70">
      <w:trPr>
        <w:trHeight w:val="397"/>
        <w:jc w:val="center"/>
      </w:trPr>
      <w:tc>
        <w:tcPr>
          <w:tcW w:w="1544" w:type="dxa"/>
          <w:vMerge/>
        </w:tcPr>
        <w:p w14:paraId="5BA24FEA" w14:textId="77777777" w:rsidR="00E66C70" w:rsidRPr="003A14EE" w:rsidRDefault="00E66C70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7CE0B239" w14:textId="0D07D67A" w:rsidR="00E66C70" w:rsidRPr="003A14EE" w:rsidRDefault="00E66C70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3223C54" w14:textId="77777777" w:rsidR="00E66C70" w:rsidRPr="003A14EE" w:rsidRDefault="00E66C70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637133A9" w14:textId="2FBEFBDE" w:rsidR="00E66C70" w:rsidRPr="009061F7" w:rsidRDefault="00E66C70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061F7">
            <w:rPr>
              <w:rFonts w:ascii="Arial Black" w:hAnsi="Arial Black"/>
              <w:b/>
              <w:sz w:val="18"/>
              <w:szCs w:val="24"/>
            </w:rPr>
            <w:t>03.02.2026</w:t>
          </w:r>
        </w:p>
      </w:tc>
    </w:tr>
    <w:tr w:rsidR="00E66C70" w:rsidRPr="003A14EE" w14:paraId="313FDACB" w14:textId="77777777" w:rsidTr="00E66C70">
      <w:trPr>
        <w:trHeight w:val="20"/>
        <w:jc w:val="center"/>
      </w:trPr>
      <w:tc>
        <w:tcPr>
          <w:tcW w:w="1544" w:type="dxa"/>
          <w:vMerge/>
        </w:tcPr>
        <w:p w14:paraId="5A492401" w14:textId="77777777" w:rsidR="00E66C70" w:rsidRPr="003A14EE" w:rsidRDefault="00E66C70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42F729DB" w14:textId="5DA8B02A" w:rsidR="00E66C70" w:rsidRPr="003A14EE" w:rsidRDefault="00E66C70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1F0D9B31" w14:textId="77777777" w:rsidR="00E66C70" w:rsidRPr="003A14EE" w:rsidRDefault="00E66C70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6807581A" w14:textId="5D9824DE" w:rsidR="00E66C70" w:rsidRPr="009061F7" w:rsidRDefault="00E66C70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061F7">
            <w:rPr>
              <w:rFonts w:ascii="Arial Black" w:hAnsi="Arial Black"/>
              <w:b/>
              <w:sz w:val="18"/>
              <w:szCs w:val="24"/>
            </w:rPr>
            <w:t>0</w:t>
          </w:r>
          <w:r w:rsidR="00555355" w:rsidRPr="009061F7">
            <w:rPr>
              <w:rFonts w:ascii="Arial Black" w:hAnsi="Arial Black"/>
              <w:b/>
              <w:sz w:val="18"/>
              <w:szCs w:val="24"/>
            </w:rPr>
            <w:t>4</w:t>
          </w:r>
          <w:r w:rsidRPr="009061F7">
            <w:rPr>
              <w:rFonts w:ascii="Arial Black" w:hAnsi="Arial Black"/>
              <w:b/>
              <w:sz w:val="18"/>
              <w:szCs w:val="24"/>
            </w:rPr>
            <w:t>.02.2026</w:t>
          </w:r>
        </w:p>
      </w:tc>
      <w:tc>
        <w:tcPr>
          <w:tcW w:w="700" w:type="dxa"/>
          <w:vAlign w:val="center"/>
        </w:tcPr>
        <w:p w14:paraId="7CCBCB36" w14:textId="77777777" w:rsidR="00E66C70" w:rsidRPr="009061F7" w:rsidRDefault="00E66C70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E66C70" w:rsidRPr="003A14EE" w14:paraId="05ACBB3F" w14:textId="77777777" w:rsidTr="00E66C70">
      <w:trPr>
        <w:trHeight w:val="435"/>
        <w:jc w:val="center"/>
      </w:trPr>
      <w:tc>
        <w:tcPr>
          <w:tcW w:w="1544" w:type="dxa"/>
          <w:vMerge/>
        </w:tcPr>
        <w:p w14:paraId="79B9611A" w14:textId="77777777" w:rsidR="00E66C70" w:rsidRPr="003A14EE" w:rsidRDefault="00E66C70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57CF2DF6" w14:textId="77777777" w:rsidR="00E66C70" w:rsidRPr="003A14EE" w:rsidRDefault="00E66C70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42231899" w14:textId="77777777" w:rsidR="00E66C70" w:rsidRPr="003A14EE" w:rsidRDefault="00E66C70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57738471" w14:textId="3C704B1F" w:rsidR="00E66C70" w:rsidRPr="009061F7" w:rsidRDefault="009061F7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061F7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9061F7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9061F7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9061F7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9061F7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9061F7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9061F7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9061F7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7</w:t>
          </w:r>
          <w:r w:rsidRPr="009061F7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14:paraId="7F9CF790" w14:textId="77777777" w:rsidR="00671CA8" w:rsidRDefault="00671CA8">
    <w:pPr>
      <w:pStyle w:val="stbilgi"/>
    </w:pPr>
    <w:bookmarkStart w:id="2" w:name="_GoBack"/>
    <w:bookmarkEnd w:id="1"/>
  </w:p>
  <w:bookmarkEnd w:id="2"/>
  <w:p w14:paraId="28B6F776" w14:textId="77777777" w:rsidR="00671CA8" w:rsidRDefault="00671C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E2F9F" w14:textId="77777777" w:rsidR="00555355" w:rsidRDefault="0055535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2085"/>
    <w:multiLevelType w:val="multilevel"/>
    <w:tmpl w:val="AAF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72CF6"/>
    <w:multiLevelType w:val="multilevel"/>
    <w:tmpl w:val="302E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66681"/>
    <w:multiLevelType w:val="hybridMultilevel"/>
    <w:tmpl w:val="648A6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83C16"/>
    <w:multiLevelType w:val="multilevel"/>
    <w:tmpl w:val="C6B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C7482"/>
    <w:multiLevelType w:val="multilevel"/>
    <w:tmpl w:val="CF6A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B17AB"/>
    <w:multiLevelType w:val="multilevel"/>
    <w:tmpl w:val="738C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A232E"/>
    <w:multiLevelType w:val="multilevel"/>
    <w:tmpl w:val="BF0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8121F"/>
    <w:multiLevelType w:val="multilevel"/>
    <w:tmpl w:val="BD2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23"/>
    <w:rsid w:val="00053B73"/>
    <w:rsid w:val="000B2723"/>
    <w:rsid w:val="000B63C7"/>
    <w:rsid w:val="000E5614"/>
    <w:rsid w:val="001179EE"/>
    <w:rsid w:val="0017200A"/>
    <w:rsid w:val="00175441"/>
    <w:rsid w:val="001932A4"/>
    <w:rsid w:val="001A3C37"/>
    <w:rsid w:val="001A5F2D"/>
    <w:rsid w:val="001D4144"/>
    <w:rsid w:val="00221110"/>
    <w:rsid w:val="002A3251"/>
    <w:rsid w:val="00325F8F"/>
    <w:rsid w:val="00434402"/>
    <w:rsid w:val="004D70AA"/>
    <w:rsid w:val="004F1F51"/>
    <w:rsid w:val="0051070E"/>
    <w:rsid w:val="00555355"/>
    <w:rsid w:val="00576BA9"/>
    <w:rsid w:val="005A0739"/>
    <w:rsid w:val="00602A07"/>
    <w:rsid w:val="00620339"/>
    <w:rsid w:val="0062258E"/>
    <w:rsid w:val="00671CA8"/>
    <w:rsid w:val="006D303C"/>
    <w:rsid w:val="006D54ED"/>
    <w:rsid w:val="0074609A"/>
    <w:rsid w:val="00747577"/>
    <w:rsid w:val="00760DD5"/>
    <w:rsid w:val="007D100F"/>
    <w:rsid w:val="007E272E"/>
    <w:rsid w:val="00811987"/>
    <w:rsid w:val="00874122"/>
    <w:rsid w:val="00875DEC"/>
    <w:rsid w:val="008C4CA7"/>
    <w:rsid w:val="008F7599"/>
    <w:rsid w:val="009061F7"/>
    <w:rsid w:val="00966055"/>
    <w:rsid w:val="009C16B7"/>
    <w:rsid w:val="009C5AA4"/>
    <w:rsid w:val="009D5ED2"/>
    <w:rsid w:val="00A51014"/>
    <w:rsid w:val="00AE76FB"/>
    <w:rsid w:val="00B77B6F"/>
    <w:rsid w:val="00BB2023"/>
    <w:rsid w:val="00BF6C23"/>
    <w:rsid w:val="00C11BB8"/>
    <w:rsid w:val="00C46AA8"/>
    <w:rsid w:val="00C56A01"/>
    <w:rsid w:val="00CD369D"/>
    <w:rsid w:val="00CF0913"/>
    <w:rsid w:val="00E42B8D"/>
    <w:rsid w:val="00E66C70"/>
    <w:rsid w:val="00E757D6"/>
    <w:rsid w:val="00ED4800"/>
    <w:rsid w:val="00F10A74"/>
    <w:rsid w:val="00F427A8"/>
    <w:rsid w:val="00F86DE9"/>
    <w:rsid w:val="00F96227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23903"/>
  <w15:docId w15:val="{C3AB2F7A-A600-46C7-A1C5-847B462A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5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C4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CA8"/>
  </w:style>
  <w:style w:type="character" w:customStyle="1" w:styleId="Balk2Char">
    <w:name w:val="Başlık 2 Char"/>
    <w:basedOn w:val="VarsaylanParagrafYazTipi"/>
    <w:link w:val="Balk2"/>
    <w:uiPriority w:val="9"/>
    <w:rsid w:val="000E5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86D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F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1F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4F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6657-DA91-449E-9229-002C2C45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891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pc</cp:lastModifiedBy>
  <cp:revision>9</cp:revision>
  <dcterms:created xsi:type="dcterms:W3CDTF">2026-02-03T16:28:00Z</dcterms:created>
  <dcterms:modified xsi:type="dcterms:W3CDTF">2026-02-04T05:58:00Z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