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3D" w:rsidRDefault="00BC5B3D" w:rsidP="00BC5B3D">
      <w:r>
        <w:t xml:space="preserve">Harcama Birimi Kontrol Alanı </w:t>
      </w:r>
    </w:p>
    <w:p w:rsidR="00BC5B3D" w:rsidRDefault="00BC5B3D" w:rsidP="00BC5B3D">
      <w:r>
        <w:t>Ödemenin Geldiği Birim</w:t>
      </w:r>
      <w:r>
        <w:tab/>
        <w:t>:</w:t>
      </w:r>
    </w:p>
    <w:p w:rsidR="009E32A1" w:rsidRDefault="00BC5B3D" w:rsidP="00BC5B3D">
      <w:r>
        <w:t>Tahakkuk İşlem Numarası</w:t>
      </w:r>
      <w:r>
        <w:tab/>
        <w:t>:</w:t>
      </w:r>
    </w:p>
    <w:tbl>
      <w:tblPr>
        <w:tblStyle w:val="TabloKlavuzu"/>
        <w:tblW w:w="0" w:type="auto"/>
        <w:tblLook w:val="04A0" w:firstRow="1" w:lastRow="0" w:firstColumn="1" w:lastColumn="0" w:noHBand="0" w:noVBand="1"/>
      </w:tblPr>
      <w:tblGrid>
        <w:gridCol w:w="1070"/>
        <w:gridCol w:w="7496"/>
        <w:gridCol w:w="1628"/>
      </w:tblGrid>
      <w:tr w:rsidR="009E32A1" w:rsidRPr="009E32A1" w:rsidTr="009E32A1">
        <w:trPr>
          <w:trHeight w:val="510"/>
        </w:trPr>
        <w:tc>
          <w:tcPr>
            <w:tcW w:w="1780" w:type="dxa"/>
            <w:noWrap/>
            <w:hideMark/>
          </w:tcPr>
          <w:p w:rsidR="009E32A1" w:rsidRPr="009E32A1" w:rsidRDefault="009E32A1" w:rsidP="009E32A1">
            <w:r w:rsidRPr="009E32A1">
              <w:t>1</w:t>
            </w:r>
          </w:p>
        </w:tc>
        <w:tc>
          <w:tcPr>
            <w:tcW w:w="13540" w:type="dxa"/>
            <w:hideMark/>
          </w:tcPr>
          <w:p w:rsidR="009E32A1" w:rsidRPr="009E32A1" w:rsidRDefault="009E32A1">
            <w:r w:rsidRPr="009E32A1">
              <w:t>Mahkeme harçları ve giderlerine ilişkin ödemelerde;</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val="restart"/>
            <w:noWrap/>
            <w:hideMark/>
          </w:tcPr>
          <w:p w:rsidR="009E32A1" w:rsidRPr="009E32A1" w:rsidRDefault="009E32A1" w:rsidP="009E32A1">
            <w:r w:rsidRPr="009E32A1">
              <w:t> </w:t>
            </w:r>
          </w:p>
        </w:tc>
        <w:tc>
          <w:tcPr>
            <w:tcW w:w="13540" w:type="dxa"/>
            <w:noWrap/>
            <w:hideMark/>
          </w:tcPr>
          <w:p w:rsidR="009E32A1" w:rsidRPr="009E32A1" w:rsidRDefault="009E32A1">
            <w:r w:rsidRPr="009E32A1">
              <w:t>a) Mahkeme, icra dairesi veya noterce düzenlenen alındı</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hideMark/>
          </w:tcPr>
          <w:p w:rsidR="009E32A1" w:rsidRPr="009E32A1" w:rsidRDefault="009E32A1">
            <w:r w:rsidRPr="009E32A1">
              <w:t>b) Alındı verilemeyen hallerde; davayı kovuşturan tarafından düzenlenip ilgili mahkeme veya dairelerce onaylanan Mahkeme Giderleri Listesi</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hideMark/>
          </w:tcPr>
          <w:p w:rsidR="009E32A1" w:rsidRPr="009E32A1" w:rsidRDefault="009E32A1">
            <w:r w:rsidRPr="009E32A1">
              <w:t>c) Ödemenin Ulusal Yargı Ağı Projesi (UYAP) ile ilişkili olarak elektronik ortamda gerçekleşmesi halinde; Ödemeyi yapan idare,  başvuru yapılan mahkeme veya icra dairesi, dosya no, yapılan ödemenin çeşidi ve tutarı bilgilerini içeren UYAP Bilişim Sisteminden veya UYAP Bilişim Sisteminin altyapısının kurulu olduğu yurt içinde yerleşik bankadan alınacak onaylı liste</w:t>
            </w:r>
          </w:p>
        </w:tc>
        <w:tc>
          <w:tcPr>
            <w:tcW w:w="2800" w:type="dxa"/>
            <w:noWrap/>
            <w:hideMark/>
          </w:tcPr>
          <w:p w:rsidR="009E32A1" w:rsidRPr="009E32A1" w:rsidRDefault="009E32A1">
            <w:r w:rsidRPr="009E32A1">
              <w:t> </w:t>
            </w:r>
          </w:p>
        </w:tc>
      </w:tr>
      <w:tr w:rsidR="009E32A1" w:rsidRPr="009E32A1" w:rsidTr="009E32A1">
        <w:trPr>
          <w:trHeight w:val="510"/>
        </w:trPr>
        <w:tc>
          <w:tcPr>
            <w:tcW w:w="1780" w:type="dxa"/>
            <w:noWrap/>
            <w:hideMark/>
          </w:tcPr>
          <w:p w:rsidR="009E32A1" w:rsidRPr="009E32A1" w:rsidRDefault="009E32A1" w:rsidP="009E32A1">
            <w:r w:rsidRPr="009E32A1">
              <w:t>2</w:t>
            </w:r>
          </w:p>
        </w:tc>
        <w:tc>
          <w:tcPr>
            <w:tcW w:w="13540" w:type="dxa"/>
            <w:hideMark/>
          </w:tcPr>
          <w:p w:rsidR="009E32A1" w:rsidRPr="009E32A1" w:rsidRDefault="009E32A1" w:rsidP="009E32A1">
            <w:r w:rsidRPr="009E32A1">
              <w:t>6100 sayılı Hukuk Muhakemeleri Kanununun yedinci kısmın birinci bölümünün yargılama giderleri uyarınca yapılacak ödemelerde;</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val="restart"/>
            <w:noWrap/>
            <w:hideMark/>
          </w:tcPr>
          <w:p w:rsidR="009E32A1" w:rsidRPr="009E32A1" w:rsidRDefault="009E32A1" w:rsidP="009E32A1">
            <w:r w:rsidRPr="009E32A1">
              <w:t> </w:t>
            </w:r>
          </w:p>
        </w:tc>
        <w:tc>
          <w:tcPr>
            <w:tcW w:w="13540" w:type="dxa"/>
            <w:noWrap/>
            <w:hideMark/>
          </w:tcPr>
          <w:p w:rsidR="009E32A1" w:rsidRPr="009E32A1" w:rsidRDefault="009E32A1">
            <w:r w:rsidRPr="009E32A1">
              <w:t>a) Mahkeme icra veya noterce düzenlenen alındı.</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hideMark/>
          </w:tcPr>
          <w:p w:rsidR="009E32A1" w:rsidRPr="009E32A1" w:rsidRDefault="009E32A1">
            <w:r w:rsidRPr="009E32A1">
              <w:t>b) Mahkeme kararı</w:t>
            </w:r>
          </w:p>
        </w:tc>
        <w:tc>
          <w:tcPr>
            <w:tcW w:w="2800" w:type="dxa"/>
            <w:noWrap/>
            <w:hideMark/>
          </w:tcPr>
          <w:p w:rsidR="009E32A1" w:rsidRPr="009E32A1" w:rsidRDefault="009E32A1">
            <w:r w:rsidRPr="009E32A1">
              <w:t> </w:t>
            </w:r>
          </w:p>
        </w:tc>
      </w:tr>
      <w:tr w:rsidR="009E32A1" w:rsidRPr="009E32A1" w:rsidTr="009E32A1">
        <w:trPr>
          <w:trHeight w:val="510"/>
        </w:trPr>
        <w:tc>
          <w:tcPr>
            <w:tcW w:w="1780" w:type="dxa"/>
            <w:noWrap/>
            <w:hideMark/>
          </w:tcPr>
          <w:p w:rsidR="009E32A1" w:rsidRPr="009E32A1" w:rsidRDefault="009E32A1" w:rsidP="009E32A1">
            <w:r w:rsidRPr="009E32A1">
              <w:t>3</w:t>
            </w:r>
          </w:p>
        </w:tc>
        <w:tc>
          <w:tcPr>
            <w:tcW w:w="13540" w:type="dxa"/>
            <w:hideMark/>
          </w:tcPr>
          <w:p w:rsidR="009E32A1" w:rsidRPr="009E32A1" w:rsidRDefault="009E32A1">
            <w:r w:rsidRPr="009E32A1">
              <w:t>Genel Bütçe Kapsamındaki Kamu İdareleri ve Özel Bütçeli İdarelerde Hukuk Hizmetlerinin Yürütülmesine İlişkin Kanun Hükmünde Kararname uyarınca vekalet ücretlerinin ilgililere ödenmesinde ödeme emri belgesine;</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val="restart"/>
            <w:noWrap/>
            <w:hideMark/>
          </w:tcPr>
          <w:p w:rsidR="009E32A1" w:rsidRPr="009E32A1" w:rsidRDefault="009E32A1" w:rsidP="009E32A1">
            <w:r w:rsidRPr="009E32A1">
              <w:t> </w:t>
            </w:r>
          </w:p>
        </w:tc>
        <w:tc>
          <w:tcPr>
            <w:tcW w:w="13540" w:type="dxa"/>
            <w:hideMark/>
          </w:tcPr>
          <w:p w:rsidR="009E32A1" w:rsidRPr="009E32A1" w:rsidRDefault="009E32A1">
            <w:r w:rsidRPr="009E32A1">
              <w:t>a) Tahsil Edilen Vekalet Ücretleri Listesi</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hideMark/>
          </w:tcPr>
          <w:p w:rsidR="009E32A1" w:rsidRPr="009E32A1" w:rsidRDefault="009E32A1">
            <w:r w:rsidRPr="009E32A1">
              <w:t>b) Mahkeme kararı</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noWrap/>
            <w:hideMark/>
          </w:tcPr>
          <w:p w:rsidR="009E32A1" w:rsidRPr="009E32A1" w:rsidRDefault="009E32A1">
            <w:r w:rsidRPr="009E32A1">
              <w:t>c) Çeşitli Ödemeler Bordrosu</w:t>
            </w:r>
          </w:p>
        </w:tc>
        <w:tc>
          <w:tcPr>
            <w:tcW w:w="2800" w:type="dxa"/>
            <w:noWrap/>
            <w:hideMark/>
          </w:tcPr>
          <w:p w:rsidR="009E32A1" w:rsidRPr="009E32A1" w:rsidRDefault="009E32A1">
            <w:r w:rsidRPr="009E32A1">
              <w:t> </w:t>
            </w:r>
          </w:p>
        </w:tc>
      </w:tr>
      <w:tr w:rsidR="009E32A1" w:rsidRPr="009E32A1" w:rsidTr="009E32A1">
        <w:trPr>
          <w:trHeight w:val="510"/>
        </w:trPr>
        <w:tc>
          <w:tcPr>
            <w:tcW w:w="1780" w:type="dxa"/>
            <w:noWrap/>
            <w:hideMark/>
          </w:tcPr>
          <w:p w:rsidR="009E32A1" w:rsidRPr="009E32A1" w:rsidRDefault="009E32A1" w:rsidP="009E32A1">
            <w:r w:rsidRPr="009E32A1">
              <w:t>4</w:t>
            </w:r>
          </w:p>
        </w:tc>
        <w:tc>
          <w:tcPr>
            <w:tcW w:w="13540" w:type="dxa"/>
            <w:hideMark/>
          </w:tcPr>
          <w:p w:rsidR="009E32A1" w:rsidRPr="009E32A1" w:rsidRDefault="009E32A1">
            <w:r w:rsidRPr="009E32A1">
              <w:t>Hazine aleyhine sonuçlanan davalarla ilgili mahkeme ve icra harçları ile karşı taraf avukatına yapılacak vekalet ücreti ödemelerinde;</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val="restart"/>
            <w:noWrap/>
            <w:hideMark/>
          </w:tcPr>
          <w:p w:rsidR="009E32A1" w:rsidRPr="009E32A1" w:rsidRDefault="009E32A1" w:rsidP="009E32A1">
            <w:r w:rsidRPr="009E32A1">
              <w:t> </w:t>
            </w:r>
          </w:p>
        </w:tc>
        <w:tc>
          <w:tcPr>
            <w:tcW w:w="13540" w:type="dxa"/>
            <w:hideMark/>
          </w:tcPr>
          <w:p w:rsidR="009E32A1" w:rsidRPr="009E32A1" w:rsidRDefault="009E32A1">
            <w:r w:rsidRPr="009E32A1">
              <w:t>a) Kanunları gereği ilamın icrası için kesinleşmiş olma şartı aranan hallerde kesinleşmiş mahkeme ilamı</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hideMark/>
          </w:tcPr>
          <w:p w:rsidR="009E32A1" w:rsidRPr="009E32A1" w:rsidRDefault="009E32A1">
            <w:r w:rsidRPr="009E32A1">
              <w:t>b) Yetkili merci tarafından icrasının geri bırakılmasına (yürütülmesinin durdurulması )karar verilmeyen mahkeme ilamı</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hideMark/>
          </w:tcPr>
          <w:p w:rsidR="009E32A1" w:rsidRPr="009E32A1" w:rsidRDefault="009E32A1">
            <w:r w:rsidRPr="009E32A1">
              <w:t>c) Davaya veya icraya intikal ettikten sonra veya intikal etmeden önce sulh yoluyla bir hakkın tanınmasından dolayı doğan borçların ödenmesinde,</w:t>
            </w:r>
            <w:r>
              <w:t xml:space="preserve"> </w:t>
            </w:r>
            <w:r w:rsidRPr="009E32A1">
              <w:t>mahkeme kararı yerine mevzuatı gereği sulha yetkili makam veya merci kararı</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hideMark/>
          </w:tcPr>
          <w:p w:rsidR="009E32A1" w:rsidRPr="009E32A1" w:rsidRDefault="009E32A1">
            <w:r w:rsidRPr="009E32A1">
              <w:t>d) Davaya veya icraya intikal ettikten sonra veya intikal etmeden önce sulh yoluyla bir hakkın tanınmasından dolayı doğan borçların ödenmesinde,</w:t>
            </w:r>
            <w:r>
              <w:t xml:space="preserve"> </w:t>
            </w:r>
            <w:r w:rsidRPr="009E32A1">
              <w:t>mahkeme kararı yerine mevzuatı gereği sulhname veya hakem kararı</w:t>
            </w:r>
          </w:p>
        </w:tc>
        <w:tc>
          <w:tcPr>
            <w:tcW w:w="2800" w:type="dxa"/>
            <w:noWrap/>
            <w:hideMark/>
          </w:tcPr>
          <w:p w:rsidR="009E32A1" w:rsidRPr="009E32A1" w:rsidRDefault="009E32A1">
            <w:r w:rsidRPr="009E32A1">
              <w:t> </w:t>
            </w:r>
          </w:p>
        </w:tc>
      </w:tr>
      <w:tr w:rsidR="009E32A1" w:rsidRPr="009E32A1" w:rsidTr="009E32A1">
        <w:trPr>
          <w:trHeight w:val="510"/>
        </w:trPr>
        <w:tc>
          <w:tcPr>
            <w:tcW w:w="1780" w:type="dxa"/>
            <w:vMerge/>
            <w:hideMark/>
          </w:tcPr>
          <w:p w:rsidR="009E32A1" w:rsidRPr="009E32A1" w:rsidRDefault="009E32A1"/>
        </w:tc>
        <w:tc>
          <w:tcPr>
            <w:tcW w:w="13540" w:type="dxa"/>
            <w:hideMark/>
          </w:tcPr>
          <w:p w:rsidR="009E32A1" w:rsidRPr="009E32A1" w:rsidRDefault="009E32A1">
            <w:r w:rsidRPr="009E32A1">
              <w:t xml:space="preserve">e) Karşı tarafın avukatına yapılacak vekalet ücreti ödemelerinde serbest meslek makbuzu </w:t>
            </w:r>
          </w:p>
        </w:tc>
        <w:tc>
          <w:tcPr>
            <w:tcW w:w="2800" w:type="dxa"/>
            <w:noWrap/>
            <w:hideMark/>
          </w:tcPr>
          <w:p w:rsidR="009E32A1" w:rsidRPr="009E32A1" w:rsidRDefault="009E32A1">
            <w:r w:rsidRPr="009E32A1">
              <w:t> </w:t>
            </w:r>
          </w:p>
        </w:tc>
      </w:tr>
      <w:tr w:rsidR="009E32A1" w:rsidRPr="009E32A1" w:rsidTr="009E32A1">
        <w:trPr>
          <w:trHeight w:val="510"/>
        </w:trPr>
        <w:tc>
          <w:tcPr>
            <w:tcW w:w="1780" w:type="dxa"/>
            <w:noWrap/>
            <w:hideMark/>
          </w:tcPr>
          <w:p w:rsidR="009E32A1" w:rsidRPr="009E32A1" w:rsidRDefault="009E32A1" w:rsidP="009E32A1">
            <w:r w:rsidRPr="009E32A1">
              <w:t>5</w:t>
            </w:r>
          </w:p>
        </w:tc>
        <w:tc>
          <w:tcPr>
            <w:tcW w:w="13540" w:type="dxa"/>
            <w:hideMark/>
          </w:tcPr>
          <w:p w:rsidR="009E32A1" w:rsidRPr="009E32A1" w:rsidRDefault="009E32A1">
            <w:r w:rsidRPr="009E32A1">
              <w:t>5000 TL'nin üzerindeki ödemelerde vergi borcu sorgulaması</w:t>
            </w:r>
            <w:r w:rsidR="00E125FB">
              <w:t xml:space="preserve"> </w:t>
            </w:r>
            <w:r w:rsidR="0085073B">
              <w:t>(Bakanlıkça güncellenen tutar)</w:t>
            </w:r>
          </w:p>
        </w:tc>
        <w:tc>
          <w:tcPr>
            <w:tcW w:w="2800" w:type="dxa"/>
            <w:noWrap/>
            <w:hideMark/>
          </w:tcPr>
          <w:p w:rsidR="009E32A1" w:rsidRPr="009E32A1" w:rsidRDefault="009E32A1">
            <w:r w:rsidRPr="009E32A1">
              <w:t> </w:t>
            </w:r>
          </w:p>
        </w:tc>
      </w:tr>
      <w:tr w:rsidR="009E32A1" w:rsidRPr="009E32A1" w:rsidTr="009E32A1">
        <w:trPr>
          <w:trHeight w:val="510"/>
        </w:trPr>
        <w:tc>
          <w:tcPr>
            <w:tcW w:w="1780" w:type="dxa"/>
            <w:noWrap/>
            <w:hideMark/>
          </w:tcPr>
          <w:p w:rsidR="009E32A1" w:rsidRPr="009E32A1" w:rsidRDefault="009E32A1" w:rsidP="009E32A1">
            <w:r w:rsidRPr="009E32A1">
              <w:t>6</w:t>
            </w:r>
          </w:p>
        </w:tc>
        <w:tc>
          <w:tcPr>
            <w:tcW w:w="13540" w:type="dxa"/>
            <w:hideMark/>
          </w:tcPr>
          <w:p w:rsidR="009E32A1" w:rsidRPr="009E32A1" w:rsidRDefault="009E32A1">
            <w:r w:rsidRPr="009E32A1">
              <w:t>İlgili mevzuatı gereği ödeme emri belgesine eklenecek diğer belgeler</w:t>
            </w:r>
          </w:p>
        </w:tc>
        <w:tc>
          <w:tcPr>
            <w:tcW w:w="2800" w:type="dxa"/>
            <w:noWrap/>
            <w:hideMark/>
          </w:tcPr>
          <w:p w:rsidR="009E32A1" w:rsidRPr="009E32A1" w:rsidRDefault="009E32A1">
            <w:r w:rsidRPr="009E32A1">
              <w:t> </w:t>
            </w:r>
          </w:p>
        </w:tc>
      </w:tr>
    </w:tbl>
    <w:p w:rsidR="00901F04" w:rsidRPr="00F37932" w:rsidRDefault="009E32A1" w:rsidP="00901F04">
      <w:pPr>
        <w:rPr>
          <w:b/>
        </w:rPr>
      </w:pPr>
      <w:r>
        <w:tab/>
      </w:r>
      <w:r w:rsidRPr="00F37932">
        <w:rPr>
          <w:b/>
        </w:rPr>
        <w:t>* Ödenek kontrolünün yapıldığını, (+) işaretli belgelerin doğru ve eksiksiz olarak oluşturulduğunu ve (/) işaretli belgelerin bu ödeme için gerekli olmadığını beyan ederim.</w:t>
      </w:r>
    </w:p>
    <w:p w:rsidR="009E32A1" w:rsidRDefault="009E32A1" w:rsidP="00F37932"/>
    <w:p w:rsidR="00F37932" w:rsidRDefault="00F37932" w:rsidP="00F37932"/>
    <w:p w:rsidR="00F37932" w:rsidRDefault="00F37932" w:rsidP="00F37932"/>
    <w:p w:rsidR="00F37932" w:rsidRDefault="00F37932" w:rsidP="00F37932"/>
    <w:p w:rsidR="00F37932" w:rsidRDefault="00F37932" w:rsidP="00F37932"/>
    <w:p w:rsidR="00F37932" w:rsidRDefault="00F37932" w:rsidP="00F37932"/>
    <w:p w:rsidR="00F37932" w:rsidRDefault="00F37932" w:rsidP="00F37932"/>
    <w:p w:rsidR="00F37932" w:rsidRDefault="00F37932" w:rsidP="00F37932"/>
    <w:p w:rsidR="00F37932" w:rsidRDefault="00F37932" w:rsidP="00F37932"/>
    <w:p w:rsidR="00F37932" w:rsidRDefault="00F37932" w:rsidP="00F37932"/>
    <w:p w:rsidR="00F37932" w:rsidRDefault="00F37932" w:rsidP="00F37932"/>
    <w:p w:rsidR="00F37932" w:rsidRDefault="00F37932" w:rsidP="00F37932"/>
    <w:p w:rsidR="00F37932" w:rsidRDefault="00F37932" w:rsidP="00F37932"/>
    <w:p w:rsidR="00901F04" w:rsidRDefault="00901F04" w:rsidP="00985CCD">
      <w:pPr>
        <w:ind w:left="5664" w:firstLine="708"/>
      </w:pPr>
      <w:r>
        <w:t>İmza</w:t>
      </w:r>
      <w:r>
        <w:tab/>
        <w:t xml:space="preserve"> </w:t>
      </w:r>
      <w:r>
        <w:tab/>
        <w:t>:</w:t>
      </w:r>
    </w:p>
    <w:p w:rsidR="00901F04" w:rsidRDefault="00901F04" w:rsidP="00985CCD">
      <w:pPr>
        <w:ind w:left="5664" w:firstLine="708"/>
      </w:pPr>
      <w:r>
        <w:t>Ad Soyad</w:t>
      </w:r>
      <w:r>
        <w:tab/>
        <w:t>:</w:t>
      </w:r>
    </w:p>
    <w:p w:rsidR="00FA0D94" w:rsidRDefault="00FA0D94" w:rsidP="00FA0D94">
      <w:pPr>
        <w:jc w:val="right"/>
      </w:pPr>
      <w:r>
        <w:t>Gerçekleştirme Görevlisi</w:t>
      </w:r>
    </w:p>
    <w:p w:rsidR="00901F04" w:rsidRDefault="00901F04" w:rsidP="00901F04"/>
    <w:p w:rsidR="00011100" w:rsidRPr="009E32A1" w:rsidRDefault="00901F04" w:rsidP="009E32A1">
      <w:pPr>
        <w:spacing w:after="0" w:line="240" w:lineRule="auto"/>
        <w:rPr>
          <w:rFonts w:ascii="Times New Roman" w:eastAsia="Times New Roman" w:hAnsi="Times New Roman" w:cs="Times New Roman"/>
          <w:b/>
          <w:bCs/>
          <w:iCs/>
          <w:color w:val="000000"/>
          <w:sz w:val="28"/>
          <w:szCs w:val="28"/>
          <w:lang w:eastAsia="tr-TR"/>
        </w:rPr>
      </w:pPr>
      <w:r w:rsidRPr="005901D8">
        <w:rPr>
          <w:rFonts w:ascii="Times New Roman" w:eastAsia="Times New Roman" w:hAnsi="Times New Roman" w:cs="Times New Roman"/>
          <w:b/>
          <w:bCs/>
          <w:iCs/>
          <w:color w:val="000000"/>
          <w:sz w:val="28"/>
          <w:szCs w:val="28"/>
          <w:lang w:eastAsia="tr-TR"/>
        </w:rPr>
        <w:t xml:space="preserve">   Var : (+)                                     Yok: (-)                                              Gerek Yok : (/)</w:t>
      </w:r>
    </w:p>
    <w:sectPr w:rsidR="00011100" w:rsidRPr="009E32A1"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553" w:rsidRDefault="00673553" w:rsidP="00625423">
      <w:pPr>
        <w:spacing w:after="0" w:line="240" w:lineRule="auto"/>
      </w:pPr>
      <w:r>
        <w:separator/>
      </w:r>
    </w:p>
  </w:endnote>
  <w:endnote w:type="continuationSeparator" w:id="0">
    <w:p w:rsidR="00673553" w:rsidRDefault="00673553"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4CF" w:rsidRDefault="00A644C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00"/>
      <w:gridCol w:w="3394"/>
      <w:gridCol w:w="3400"/>
    </w:tblGrid>
    <w:tr w:rsidR="003A14EE" w:rsidRPr="003A14EE" w:rsidTr="00A644CF">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394"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A644CF">
      <w:tc>
        <w:tcPr>
          <w:tcW w:w="3400" w:type="dxa"/>
        </w:tcPr>
        <w:p w:rsidR="003A14EE" w:rsidRPr="003A14EE" w:rsidRDefault="003A14EE" w:rsidP="003A14EE">
          <w:pPr>
            <w:pStyle w:val="Altbilgi"/>
            <w:jc w:val="center"/>
            <w:rPr>
              <w:rFonts w:ascii="Arial Black" w:hAnsi="Arial Black"/>
              <w:sz w:val="18"/>
            </w:rPr>
          </w:pPr>
        </w:p>
      </w:tc>
      <w:tc>
        <w:tcPr>
          <w:tcW w:w="3394" w:type="dxa"/>
        </w:tcPr>
        <w:p w:rsidR="003A14EE" w:rsidRPr="003A14EE" w:rsidRDefault="003A14EE" w:rsidP="003A14EE">
          <w:pPr>
            <w:pStyle w:val="Altbilgi"/>
            <w:jc w:val="center"/>
            <w:rPr>
              <w:rFonts w:ascii="Arial Black" w:hAnsi="Arial Black"/>
              <w:sz w:val="18"/>
            </w:rPr>
          </w:pPr>
        </w:p>
      </w:tc>
      <w:tc>
        <w:tcPr>
          <w:tcW w:w="3400" w:type="dxa"/>
        </w:tcPr>
        <w:p w:rsidR="003A14EE" w:rsidRPr="003A14EE" w:rsidRDefault="003A14EE" w:rsidP="003A14EE">
          <w:pPr>
            <w:pStyle w:val="Altbilgi"/>
            <w:jc w:val="center"/>
            <w:rPr>
              <w:rFonts w:ascii="Arial Black" w:hAnsi="Arial Black"/>
              <w:sz w:val="18"/>
            </w:rPr>
          </w:pPr>
        </w:p>
      </w:tc>
    </w:tr>
  </w:tbl>
  <w:p w:rsidR="003A14EE" w:rsidRDefault="00A644CF" w:rsidP="003A14EE">
    <w:pPr>
      <w:pStyle w:val="Altbilgi"/>
    </w:pPr>
    <w:r>
      <w:t>KYT-FRM-335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4CF" w:rsidRDefault="00A644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553" w:rsidRDefault="00673553" w:rsidP="00625423">
      <w:pPr>
        <w:spacing w:after="0" w:line="240" w:lineRule="auto"/>
      </w:pPr>
      <w:r>
        <w:separator/>
      </w:r>
    </w:p>
  </w:footnote>
  <w:footnote w:type="continuationSeparator" w:id="0">
    <w:p w:rsidR="00673553" w:rsidRDefault="00673553"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4CF" w:rsidRDefault="00A644C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D67382">
          <w:pPr>
            <w:pStyle w:val="stbilgi"/>
            <w:ind w:left="113" w:right="113"/>
            <w:rPr>
              <w:b/>
            </w:rPr>
          </w:pPr>
          <w:r w:rsidRPr="00625423">
            <w:rPr>
              <w:rFonts w:ascii="Arial Black" w:hAnsi="Arial Black"/>
              <w:b/>
              <w:color w:val="8DB3E2" w:themeColor="text2" w:themeTint="66"/>
              <w:sz w:val="20"/>
              <w:szCs w:val="20"/>
            </w:rPr>
            <w:t>S</w:t>
          </w:r>
          <w:r w:rsidR="00D67382">
            <w:rPr>
              <w:rFonts w:ascii="Arial Black" w:hAnsi="Arial Black"/>
              <w:b/>
              <w:color w:val="8DB3E2" w:themeColor="text2" w:themeTint="66"/>
              <w:sz w:val="20"/>
              <w:szCs w:val="20"/>
            </w:rPr>
            <w:t>GDB</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D67382" w:rsidP="00D67382">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 Geliştirme Daire Başkanlığı</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D67382" w:rsidP="00AD3F21">
          <w:pPr>
            <w:pStyle w:val="stbilgi"/>
            <w:jc w:val="center"/>
            <w:rPr>
              <w:rFonts w:ascii="Arial Black" w:hAnsi="Arial Black"/>
              <w:b/>
              <w:sz w:val="18"/>
              <w:szCs w:val="24"/>
            </w:rPr>
          </w:pPr>
          <w:r>
            <w:rPr>
              <w:rFonts w:ascii="Arial Black" w:hAnsi="Arial Black"/>
              <w:b/>
              <w:sz w:val="18"/>
              <w:szCs w:val="24"/>
            </w:rPr>
            <w:t>KAMU ÖN MALİ KONTROL</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A644CF" w:rsidP="00AD3F21">
          <w:pPr>
            <w:pStyle w:val="stbilgi"/>
            <w:jc w:val="center"/>
            <w:rPr>
              <w:rFonts w:ascii="Arial Black" w:hAnsi="Arial Black"/>
              <w:b/>
              <w:sz w:val="18"/>
              <w:szCs w:val="24"/>
            </w:rPr>
          </w:pPr>
          <w:r>
            <w:rPr>
              <w:rFonts w:ascii="Arial Black" w:hAnsi="Arial Black"/>
              <w:b/>
              <w:sz w:val="18"/>
              <w:szCs w:val="24"/>
            </w:rPr>
            <w:t>KYT-FRM-335</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A644CF"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9E32A1" w:rsidP="00AD3F21">
          <w:pPr>
            <w:pStyle w:val="stbilgi"/>
            <w:jc w:val="center"/>
            <w:rPr>
              <w:rFonts w:ascii="Arial Black" w:hAnsi="Arial Black"/>
              <w:b/>
              <w:sz w:val="18"/>
              <w:szCs w:val="24"/>
            </w:rPr>
          </w:pPr>
          <w:r w:rsidRPr="009E32A1">
            <w:rPr>
              <w:rFonts w:ascii="Arial Black" w:hAnsi="Arial Black"/>
              <w:b/>
              <w:sz w:val="18"/>
              <w:szCs w:val="24"/>
            </w:rPr>
            <w:t>MAHKEME HARÇ VE GİDERLERİ İLE VEKALET ÜCRETİ ÖDEMELERİ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F37932" w:rsidP="00AD3F21">
          <w:pPr>
            <w:pStyle w:val="stbilgi"/>
            <w:jc w:val="center"/>
            <w:rPr>
              <w:rFonts w:ascii="Arial Black" w:hAnsi="Arial Black"/>
              <w:b/>
              <w:sz w:val="18"/>
              <w:szCs w:val="24"/>
            </w:rPr>
          </w:pPr>
          <w:r w:rsidRPr="00F37932">
            <w:rPr>
              <w:rFonts w:ascii="Arial Black" w:hAnsi="Arial Black"/>
              <w:b/>
              <w:bCs/>
              <w:sz w:val="18"/>
              <w:szCs w:val="24"/>
            </w:rPr>
            <w:fldChar w:fldCharType="begin"/>
          </w:r>
          <w:r w:rsidRPr="00F37932">
            <w:rPr>
              <w:rFonts w:ascii="Arial Black" w:hAnsi="Arial Black"/>
              <w:b/>
              <w:bCs/>
              <w:sz w:val="18"/>
              <w:szCs w:val="24"/>
            </w:rPr>
            <w:instrText>PAGE  \* Arabic  \* MERGEFORMAT</w:instrText>
          </w:r>
          <w:r w:rsidRPr="00F37932">
            <w:rPr>
              <w:rFonts w:ascii="Arial Black" w:hAnsi="Arial Black"/>
              <w:b/>
              <w:bCs/>
              <w:sz w:val="18"/>
              <w:szCs w:val="24"/>
            </w:rPr>
            <w:fldChar w:fldCharType="separate"/>
          </w:r>
          <w:r w:rsidR="00A644CF">
            <w:rPr>
              <w:rFonts w:ascii="Arial Black" w:hAnsi="Arial Black"/>
              <w:b/>
              <w:bCs/>
              <w:noProof/>
              <w:sz w:val="18"/>
              <w:szCs w:val="24"/>
            </w:rPr>
            <w:t>1</w:t>
          </w:r>
          <w:r w:rsidRPr="00F37932">
            <w:rPr>
              <w:rFonts w:ascii="Arial Black" w:hAnsi="Arial Black"/>
              <w:b/>
              <w:bCs/>
              <w:sz w:val="18"/>
              <w:szCs w:val="24"/>
            </w:rPr>
            <w:fldChar w:fldCharType="end"/>
          </w:r>
          <w:r w:rsidRPr="00F37932">
            <w:rPr>
              <w:rFonts w:ascii="Arial Black" w:hAnsi="Arial Black"/>
              <w:b/>
              <w:sz w:val="18"/>
              <w:szCs w:val="24"/>
            </w:rPr>
            <w:t xml:space="preserve"> / </w:t>
          </w:r>
          <w:r w:rsidRPr="00F37932">
            <w:rPr>
              <w:rFonts w:ascii="Arial Black" w:hAnsi="Arial Black"/>
              <w:b/>
              <w:bCs/>
              <w:sz w:val="18"/>
              <w:szCs w:val="24"/>
            </w:rPr>
            <w:fldChar w:fldCharType="begin"/>
          </w:r>
          <w:r w:rsidRPr="00F37932">
            <w:rPr>
              <w:rFonts w:ascii="Arial Black" w:hAnsi="Arial Black"/>
              <w:b/>
              <w:bCs/>
              <w:sz w:val="18"/>
              <w:szCs w:val="24"/>
            </w:rPr>
            <w:instrText>NUMPAGES  \* Arabic  \* MERGEFORMAT</w:instrText>
          </w:r>
          <w:r w:rsidRPr="00F37932">
            <w:rPr>
              <w:rFonts w:ascii="Arial Black" w:hAnsi="Arial Black"/>
              <w:b/>
              <w:bCs/>
              <w:sz w:val="18"/>
              <w:szCs w:val="24"/>
            </w:rPr>
            <w:fldChar w:fldCharType="separate"/>
          </w:r>
          <w:r w:rsidR="00A644CF">
            <w:rPr>
              <w:rFonts w:ascii="Arial Black" w:hAnsi="Arial Black"/>
              <w:b/>
              <w:bCs/>
              <w:noProof/>
              <w:sz w:val="18"/>
              <w:szCs w:val="24"/>
            </w:rPr>
            <w:t>2</w:t>
          </w:r>
          <w:r w:rsidRPr="00F37932">
            <w:rPr>
              <w:rFonts w:ascii="Arial Black" w:hAnsi="Arial Black"/>
              <w:b/>
              <w:bCs/>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4CF" w:rsidRDefault="00A644C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14C56"/>
    <w:rsid w:val="0007743B"/>
    <w:rsid w:val="000C04E4"/>
    <w:rsid w:val="001D616D"/>
    <w:rsid w:val="0021683C"/>
    <w:rsid w:val="002E1C9D"/>
    <w:rsid w:val="002E37A1"/>
    <w:rsid w:val="003A14EE"/>
    <w:rsid w:val="00443B43"/>
    <w:rsid w:val="004D05ED"/>
    <w:rsid w:val="00510D6F"/>
    <w:rsid w:val="0059492C"/>
    <w:rsid w:val="00625423"/>
    <w:rsid w:val="00673553"/>
    <w:rsid w:val="00692496"/>
    <w:rsid w:val="006C376D"/>
    <w:rsid w:val="00750D8B"/>
    <w:rsid w:val="0085073B"/>
    <w:rsid w:val="00892509"/>
    <w:rsid w:val="00901F04"/>
    <w:rsid w:val="0091180B"/>
    <w:rsid w:val="00985CCD"/>
    <w:rsid w:val="009E32A1"/>
    <w:rsid w:val="00A644CF"/>
    <w:rsid w:val="00A80E5E"/>
    <w:rsid w:val="00AD3F21"/>
    <w:rsid w:val="00AE3D59"/>
    <w:rsid w:val="00B70A73"/>
    <w:rsid w:val="00BC5B3D"/>
    <w:rsid w:val="00C549F3"/>
    <w:rsid w:val="00CD0297"/>
    <w:rsid w:val="00CE7EF6"/>
    <w:rsid w:val="00D67382"/>
    <w:rsid w:val="00E125FB"/>
    <w:rsid w:val="00F37932"/>
    <w:rsid w:val="00F4565C"/>
    <w:rsid w:val="00F46232"/>
    <w:rsid w:val="00FA0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E5369-6827-4697-B24F-1B0626FD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43926">
      <w:bodyDiv w:val="1"/>
      <w:marLeft w:val="0"/>
      <w:marRight w:val="0"/>
      <w:marTop w:val="0"/>
      <w:marBottom w:val="0"/>
      <w:divBdr>
        <w:top w:val="none" w:sz="0" w:space="0" w:color="auto"/>
        <w:left w:val="none" w:sz="0" w:space="0" w:color="auto"/>
        <w:bottom w:val="none" w:sz="0" w:space="0" w:color="auto"/>
        <w:right w:val="none" w:sz="0" w:space="0" w:color="auto"/>
      </w:divBdr>
    </w:div>
    <w:div w:id="7609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A59B-4BD7-4428-BB6A-CF24A946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2025-12-25T12:08:00Z</dcterms:created>
  <dcterms:modified xsi:type="dcterms:W3CDTF">2025-12-25T12:08:00Z</dcterms:modified>
</cp:coreProperties>
</file>